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9BB960" w14:textId="0618E228" w:rsidR="008E66BB" w:rsidRPr="008E66BB" w:rsidRDefault="00B159F1" w:rsidP="002103AD">
      <w:pPr>
        <w:pStyle w:val="Title"/>
        <w:pBdr>
          <w:bottom w:val="single" w:sz="12" w:space="1" w:color="auto"/>
        </w:pBdr>
        <w:jc w:val="both"/>
        <w:rPr>
          <w:rStyle w:val="Heading2Char"/>
          <w:color w:val="auto"/>
          <w:sz w:val="56"/>
          <w:szCs w:val="56"/>
          <w:bdr w:val="none" w:sz="0" w:space="0" w:color="auto"/>
          <w:lang w:val="pt-BR"/>
        </w:rPr>
      </w:pPr>
      <w:r>
        <w:rPr>
          <w:rStyle w:val="Heading2Char"/>
          <w:color w:val="auto"/>
          <w:sz w:val="56"/>
          <w:szCs w:val="56"/>
          <w:bdr w:val="none" w:sz="0" w:space="0" w:color="auto"/>
          <w:lang w:val="pt-BR"/>
        </w:rPr>
        <w:t>M</w:t>
      </w:r>
      <w:r w:rsidR="008E66BB" w:rsidRPr="008E66BB">
        <w:rPr>
          <w:rStyle w:val="Heading2Char"/>
          <w:color w:val="auto"/>
          <w:sz w:val="56"/>
          <w:szCs w:val="56"/>
          <w:bdr w:val="none" w:sz="0" w:space="0" w:color="auto"/>
          <w:lang w:val="pt-BR"/>
        </w:rPr>
        <w:t xml:space="preserve">udanças </w:t>
      </w:r>
      <w:r w:rsidR="00F55482">
        <w:rPr>
          <w:rStyle w:val="Heading2Char"/>
          <w:color w:val="auto"/>
          <w:sz w:val="56"/>
          <w:szCs w:val="56"/>
          <w:bdr w:val="none" w:sz="0" w:space="0" w:color="auto"/>
          <w:lang w:val="pt-BR"/>
        </w:rPr>
        <w:t>n</w:t>
      </w:r>
      <w:r w:rsidR="008E66BB" w:rsidRPr="008E66BB">
        <w:rPr>
          <w:rStyle w:val="Heading2Char"/>
          <w:color w:val="auto"/>
          <w:sz w:val="56"/>
          <w:szCs w:val="56"/>
          <w:bdr w:val="none" w:sz="0" w:space="0" w:color="auto"/>
          <w:lang w:val="pt-BR"/>
        </w:rPr>
        <w:t xml:space="preserve">o </w:t>
      </w:r>
      <w:r w:rsidR="0001154A">
        <w:rPr>
          <w:rStyle w:val="Heading2Char"/>
          <w:color w:val="auto"/>
          <w:sz w:val="56"/>
          <w:szCs w:val="56"/>
          <w:bdr w:val="none" w:sz="0" w:space="0" w:color="auto"/>
          <w:lang w:val="pt-BR"/>
        </w:rPr>
        <w:t>U</w:t>
      </w:r>
      <w:r w:rsidR="008E66BB" w:rsidRPr="008E66BB">
        <w:rPr>
          <w:rStyle w:val="Heading2Char"/>
          <w:color w:val="auto"/>
          <w:sz w:val="56"/>
          <w:szCs w:val="56"/>
          <w:bdr w:val="none" w:sz="0" w:space="0" w:color="auto"/>
          <w:lang w:val="pt-BR"/>
        </w:rPr>
        <w:t xml:space="preserve">so da </w:t>
      </w:r>
      <w:r w:rsidR="0001154A">
        <w:rPr>
          <w:rStyle w:val="Heading2Char"/>
          <w:color w:val="auto"/>
          <w:sz w:val="56"/>
          <w:szCs w:val="56"/>
          <w:bdr w:val="none" w:sz="0" w:space="0" w:color="auto"/>
          <w:lang w:val="pt-BR"/>
        </w:rPr>
        <w:t>T</w:t>
      </w:r>
      <w:r w:rsidR="008E66BB" w:rsidRPr="008E66BB">
        <w:rPr>
          <w:rStyle w:val="Heading2Char"/>
          <w:color w:val="auto"/>
          <w:sz w:val="56"/>
          <w:szCs w:val="56"/>
          <w:bdr w:val="none" w:sz="0" w:space="0" w:color="auto"/>
          <w:lang w:val="pt-BR"/>
        </w:rPr>
        <w:t xml:space="preserve">erra </w:t>
      </w:r>
      <w:r>
        <w:rPr>
          <w:rStyle w:val="Heading2Char"/>
          <w:color w:val="auto"/>
          <w:sz w:val="56"/>
          <w:szCs w:val="56"/>
          <w:bdr w:val="none" w:sz="0" w:space="0" w:color="auto"/>
          <w:lang w:val="pt-BR"/>
        </w:rPr>
        <w:t>e Florestas</w:t>
      </w:r>
    </w:p>
    <w:p w14:paraId="7B2343B4" w14:textId="178F52CE" w:rsidR="008E66BB" w:rsidRDefault="00C225A4" w:rsidP="00BC205E">
      <w:pPr>
        <w:jc w:val="right"/>
        <w:rPr>
          <w:lang w:val="pt-BR"/>
        </w:rPr>
      </w:pPr>
      <w:r>
        <w:rPr>
          <w:lang w:val="pt-BR"/>
        </w:rPr>
        <w:t>Fevereiro</w:t>
      </w:r>
      <w:r w:rsidR="00BC205E">
        <w:rPr>
          <w:lang w:val="pt-BR"/>
        </w:rPr>
        <w:t>, 20</w:t>
      </w:r>
      <w:r w:rsidR="003A50AE">
        <w:rPr>
          <w:lang w:val="pt-BR"/>
        </w:rPr>
        <w:t>2</w:t>
      </w:r>
      <w:r w:rsidR="00693006">
        <w:rPr>
          <w:lang w:val="pt-BR"/>
        </w:rPr>
        <w:t>1</w:t>
      </w:r>
    </w:p>
    <w:p w14:paraId="12E95A90" w14:textId="66A270BC" w:rsidR="008E66BB" w:rsidRDefault="008E66BB" w:rsidP="00B159F1">
      <w:pPr>
        <w:pStyle w:val="Heading2"/>
        <w:rPr>
          <w:rStyle w:val="Heading2Char"/>
          <w:lang w:val="pt-BR"/>
        </w:rPr>
      </w:pPr>
      <w:r w:rsidRPr="00B159F1">
        <w:rPr>
          <w:rStyle w:val="Heading2Char"/>
          <w:lang w:val="pt-BR"/>
        </w:rPr>
        <w:t>Visão geral</w:t>
      </w:r>
    </w:p>
    <w:p w14:paraId="00CBCE0B" w14:textId="77777777" w:rsidR="00B159F1" w:rsidRPr="00B159F1" w:rsidRDefault="00B159F1" w:rsidP="00B159F1">
      <w:pPr>
        <w:rPr>
          <w:lang w:val="pt-BR"/>
        </w:rPr>
      </w:pPr>
    </w:p>
    <w:p w14:paraId="1D43F7B1" w14:textId="4FB20D49" w:rsidR="008E66BB" w:rsidRPr="008E66BB" w:rsidRDefault="008E66BB" w:rsidP="002103AD">
      <w:pPr>
        <w:jc w:val="both"/>
        <w:rPr>
          <w:lang w:val="pt-BR"/>
        </w:rPr>
      </w:pPr>
      <w:r w:rsidRPr="008E66BB">
        <w:rPr>
          <w:lang w:val="pt-BR"/>
        </w:rPr>
        <w:t>Este documento d</w:t>
      </w:r>
      <w:r>
        <w:rPr>
          <w:lang w:val="pt-BR"/>
        </w:rPr>
        <w:t>escreve o resumo das emissões de Gases de Efeito Estufa (GEE) das mudanças de uso da terra (</w:t>
      </w:r>
      <w:r w:rsidR="00B159F1">
        <w:rPr>
          <w:lang w:val="pt-BR"/>
        </w:rPr>
        <w:t>MUT</w:t>
      </w:r>
      <w:r>
        <w:rPr>
          <w:lang w:val="pt-BR"/>
        </w:rPr>
        <w:t>) e remanescente</w:t>
      </w:r>
      <w:r w:rsidR="007C5F0C">
        <w:rPr>
          <w:lang w:val="pt-BR"/>
        </w:rPr>
        <w:t>s</w:t>
      </w:r>
      <w:r>
        <w:rPr>
          <w:lang w:val="pt-BR"/>
        </w:rPr>
        <w:t xml:space="preserve"> floresta</w:t>
      </w:r>
      <w:r w:rsidR="007C5F0C">
        <w:rPr>
          <w:lang w:val="pt-BR"/>
        </w:rPr>
        <w:t>is</w:t>
      </w:r>
      <w:r>
        <w:rPr>
          <w:lang w:val="pt-BR"/>
        </w:rPr>
        <w:t xml:space="preserve"> (F), dentro dos setores agrícolas, florestal e de outros usos da terra (setor AFOLU) para o estado de São Paulo.</w:t>
      </w:r>
    </w:p>
    <w:p w14:paraId="53820FAD" w14:textId="5891A221" w:rsidR="008E66BB" w:rsidRDefault="008E66BB" w:rsidP="002103AD">
      <w:pPr>
        <w:jc w:val="both"/>
        <w:rPr>
          <w:lang w:val="pt-BR"/>
        </w:rPr>
      </w:pPr>
      <w:r w:rsidRPr="008E66BB">
        <w:rPr>
          <w:lang w:val="pt-BR"/>
        </w:rPr>
        <w:t>O período de referência uti</w:t>
      </w:r>
      <w:r>
        <w:rPr>
          <w:lang w:val="pt-BR"/>
        </w:rPr>
        <w:t xml:space="preserve">lizado foi o de </w:t>
      </w:r>
      <w:r w:rsidRPr="00787C5A">
        <w:rPr>
          <w:lang w:val="pt-BR"/>
        </w:rPr>
        <w:t>20</w:t>
      </w:r>
      <w:r w:rsidR="00A132BE">
        <w:rPr>
          <w:lang w:val="pt-BR"/>
        </w:rPr>
        <w:t>10</w:t>
      </w:r>
      <w:r w:rsidRPr="00787C5A">
        <w:rPr>
          <w:lang w:val="pt-BR"/>
        </w:rPr>
        <w:t>-201</w:t>
      </w:r>
      <w:r w:rsidR="00A132BE">
        <w:rPr>
          <w:lang w:val="pt-BR"/>
        </w:rPr>
        <w:t>9</w:t>
      </w:r>
      <w:r>
        <w:rPr>
          <w:lang w:val="pt-BR"/>
        </w:rPr>
        <w:t xml:space="preserve"> e está em consonância com as metas estaduais estabelecidas na Política Estadual de Mudanças Climáticas (PEMC)</w:t>
      </w:r>
      <w:r w:rsidR="000F2D30">
        <w:rPr>
          <w:lang w:val="pt-BR"/>
        </w:rPr>
        <w:t>, Lei Estadual n°</w:t>
      </w:r>
      <w:r w:rsidR="007C5F0C">
        <w:rPr>
          <w:lang w:val="pt-BR"/>
        </w:rPr>
        <w:t xml:space="preserve"> </w:t>
      </w:r>
      <w:r w:rsidR="000F2D30">
        <w:rPr>
          <w:lang w:val="pt-BR"/>
        </w:rPr>
        <w:t>13.798 de 09 de novembro de 2009</w:t>
      </w:r>
      <w:r w:rsidR="000F2D30">
        <w:rPr>
          <w:rStyle w:val="FootnoteReference"/>
          <w:lang w:val="pt-BR"/>
        </w:rPr>
        <w:footnoteReference w:id="1"/>
      </w:r>
      <w:r w:rsidR="000F2D30">
        <w:rPr>
          <w:lang w:val="pt-BR"/>
        </w:rPr>
        <w:t>.</w:t>
      </w:r>
    </w:p>
    <w:p w14:paraId="3FA0398A" w14:textId="77777777" w:rsidR="000F2D30" w:rsidRDefault="000F2D30" w:rsidP="002103AD">
      <w:pPr>
        <w:jc w:val="both"/>
        <w:rPr>
          <w:lang w:val="pt-BR"/>
        </w:rPr>
      </w:pPr>
      <w:r>
        <w:rPr>
          <w:lang w:val="pt-BR"/>
        </w:rPr>
        <w:t>A metodologia utilizada nos cálculos das emissões e remoções de GEE seguiram as diretrizes do IPCC (2006), volume 4</w:t>
      </w:r>
      <w:r>
        <w:rPr>
          <w:rStyle w:val="FootnoteReference"/>
          <w:lang w:val="pt-BR"/>
        </w:rPr>
        <w:footnoteReference w:id="2"/>
      </w:r>
      <w:r>
        <w:rPr>
          <w:lang w:val="pt-BR"/>
        </w:rPr>
        <w:t>, guia para AFOLU, diferenciando as mudanças da terra em 6 categoriais:</w:t>
      </w:r>
    </w:p>
    <w:p w14:paraId="00CC26DF" w14:textId="77777777" w:rsidR="000F2D30" w:rsidRPr="000F2D30" w:rsidRDefault="000F2D30" w:rsidP="002103AD">
      <w:pPr>
        <w:pStyle w:val="ListParagraph"/>
        <w:numPr>
          <w:ilvl w:val="0"/>
          <w:numId w:val="2"/>
        </w:numPr>
        <w:jc w:val="both"/>
        <w:rPr>
          <w:lang w:val="pt-BR"/>
        </w:rPr>
      </w:pPr>
      <w:r w:rsidRPr="000F2D30">
        <w:rPr>
          <w:lang w:val="pt-BR"/>
        </w:rPr>
        <w:t>Floresta</w:t>
      </w:r>
    </w:p>
    <w:p w14:paraId="32FBF448" w14:textId="77777777" w:rsidR="000F2D30" w:rsidRPr="000F2D30" w:rsidRDefault="000F2D30" w:rsidP="002103AD">
      <w:pPr>
        <w:pStyle w:val="ListParagraph"/>
        <w:numPr>
          <w:ilvl w:val="0"/>
          <w:numId w:val="2"/>
        </w:numPr>
        <w:jc w:val="both"/>
        <w:rPr>
          <w:lang w:val="pt-BR"/>
        </w:rPr>
      </w:pPr>
      <w:r w:rsidRPr="000F2D30">
        <w:rPr>
          <w:lang w:val="pt-BR"/>
        </w:rPr>
        <w:t>Agricultura</w:t>
      </w:r>
    </w:p>
    <w:p w14:paraId="06D73BA3" w14:textId="77777777" w:rsidR="000F2D30" w:rsidRPr="000F2D30" w:rsidRDefault="000F2D30" w:rsidP="002103AD">
      <w:pPr>
        <w:pStyle w:val="ListParagraph"/>
        <w:numPr>
          <w:ilvl w:val="0"/>
          <w:numId w:val="2"/>
        </w:numPr>
        <w:jc w:val="both"/>
        <w:rPr>
          <w:lang w:val="pt-BR"/>
        </w:rPr>
      </w:pPr>
      <w:r w:rsidRPr="000F2D30">
        <w:rPr>
          <w:lang w:val="pt-BR"/>
        </w:rPr>
        <w:t>Pastagem</w:t>
      </w:r>
    </w:p>
    <w:p w14:paraId="0A179427" w14:textId="77777777" w:rsidR="000F2D30" w:rsidRPr="000F2D30" w:rsidRDefault="000F2D30" w:rsidP="002103AD">
      <w:pPr>
        <w:pStyle w:val="ListParagraph"/>
        <w:numPr>
          <w:ilvl w:val="0"/>
          <w:numId w:val="2"/>
        </w:numPr>
        <w:jc w:val="both"/>
        <w:rPr>
          <w:lang w:val="pt-BR"/>
        </w:rPr>
      </w:pPr>
      <w:r w:rsidRPr="000F2D30">
        <w:rPr>
          <w:lang w:val="pt-BR"/>
        </w:rPr>
        <w:t>Áreas alagadas</w:t>
      </w:r>
    </w:p>
    <w:p w14:paraId="459B5347" w14:textId="77777777" w:rsidR="000F2D30" w:rsidRPr="000F2D30" w:rsidRDefault="000F2D30" w:rsidP="002103AD">
      <w:pPr>
        <w:pStyle w:val="ListParagraph"/>
        <w:numPr>
          <w:ilvl w:val="0"/>
          <w:numId w:val="2"/>
        </w:numPr>
        <w:jc w:val="both"/>
        <w:rPr>
          <w:lang w:val="pt-BR"/>
        </w:rPr>
      </w:pPr>
      <w:r w:rsidRPr="000F2D30">
        <w:rPr>
          <w:lang w:val="pt-BR"/>
        </w:rPr>
        <w:t>Áreas urbanas</w:t>
      </w:r>
    </w:p>
    <w:p w14:paraId="72D6A857" w14:textId="77777777" w:rsidR="000F2D30" w:rsidRPr="000F2D30" w:rsidRDefault="000F2D30" w:rsidP="002103AD">
      <w:pPr>
        <w:pStyle w:val="ListParagraph"/>
        <w:numPr>
          <w:ilvl w:val="0"/>
          <w:numId w:val="2"/>
        </w:numPr>
        <w:jc w:val="both"/>
        <w:rPr>
          <w:lang w:val="pt-BR"/>
        </w:rPr>
      </w:pPr>
      <w:r w:rsidRPr="000F2D30">
        <w:rPr>
          <w:lang w:val="pt-BR"/>
        </w:rPr>
        <w:t>Outras áreas</w:t>
      </w:r>
    </w:p>
    <w:p w14:paraId="4753B752" w14:textId="36A978DB" w:rsidR="00B744EE" w:rsidRDefault="00693006" w:rsidP="002103AD">
      <w:pPr>
        <w:jc w:val="both"/>
        <w:rPr>
          <w:lang w:val="pt-BR"/>
        </w:rPr>
      </w:pPr>
      <w:r w:rsidRPr="00693006">
        <w:rPr>
          <w:lang w:val="pt-BR"/>
        </w:rPr>
        <w:t xml:space="preserve">As análises estão em conformidade com os princípios de contabilidade de transparência, consistência, comparabilidade, completude e acurácia (TCCCA, sigla em inglês). Neste sentido os dados de entrada e premissas realizadas estão em conformidade com o III Inventário Nacional de Emissões e Remoções Antrópicas de GEE e com o IV </w:t>
      </w:r>
      <w:r w:rsidR="00A746A9" w:rsidRPr="00693006">
        <w:rPr>
          <w:lang w:val="pt-BR"/>
        </w:rPr>
        <w:t>I</w:t>
      </w:r>
      <w:r w:rsidR="00A746A9">
        <w:rPr>
          <w:lang w:val="pt-BR"/>
        </w:rPr>
        <w:t>nventário Nacional de Emissões e Remoções Antrópicas de Gases de Efeito Estufa,</w:t>
      </w:r>
      <w:r w:rsidRPr="00693006">
        <w:rPr>
          <w:lang w:val="pt-BR"/>
        </w:rPr>
        <w:t xml:space="preserve"> Projeto BRA/16/G31 – MCTI, 2020.  A posição conservadora foi norteadora para as análises, especialmente quando premissas tiveram que ser adotadas (p.</w:t>
      </w:r>
      <w:r w:rsidR="007C5F0C">
        <w:rPr>
          <w:lang w:val="pt-BR"/>
        </w:rPr>
        <w:t xml:space="preserve"> </w:t>
      </w:r>
      <w:r w:rsidRPr="00693006">
        <w:rPr>
          <w:lang w:val="pt-BR"/>
        </w:rPr>
        <w:t>e</w:t>
      </w:r>
      <w:r w:rsidR="007C5F0C">
        <w:rPr>
          <w:lang w:val="pt-BR"/>
        </w:rPr>
        <w:t>x</w:t>
      </w:r>
      <w:r w:rsidRPr="00693006">
        <w:rPr>
          <w:lang w:val="pt-BR"/>
        </w:rPr>
        <w:t>. adotando o menor fator de emissão ou remoção nas estimativas).</w:t>
      </w:r>
    </w:p>
    <w:p w14:paraId="148937A1" w14:textId="7022C9CA" w:rsidR="005A7584" w:rsidRDefault="005A7584" w:rsidP="002103AD">
      <w:pPr>
        <w:jc w:val="both"/>
        <w:rPr>
          <w:lang w:val="pt-BR"/>
        </w:rPr>
      </w:pPr>
    </w:p>
    <w:p w14:paraId="7A89C7A1" w14:textId="6CE17EF8" w:rsidR="00472CA3" w:rsidRDefault="00010758" w:rsidP="002103AD">
      <w:pPr>
        <w:pStyle w:val="Heading2"/>
        <w:ind w:left="360"/>
        <w:jc w:val="both"/>
        <w:rPr>
          <w:lang w:val="pt-BR"/>
        </w:rPr>
      </w:pPr>
      <w:r w:rsidRPr="00677E17">
        <w:rPr>
          <w:lang w:val="pt-BR"/>
        </w:rPr>
        <w:t xml:space="preserve">Dados </w:t>
      </w:r>
      <w:r w:rsidR="00B159F1">
        <w:rPr>
          <w:lang w:val="pt-BR"/>
        </w:rPr>
        <w:t>de atividade</w:t>
      </w:r>
    </w:p>
    <w:p w14:paraId="21D0E9B4" w14:textId="77777777" w:rsidR="00B159F1" w:rsidRPr="00B159F1" w:rsidRDefault="00B159F1" w:rsidP="00B159F1">
      <w:pPr>
        <w:rPr>
          <w:lang w:val="pt-BR"/>
        </w:rPr>
      </w:pPr>
    </w:p>
    <w:p w14:paraId="3994397C" w14:textId="1210FF26" w:rsidR="00472CA3" w:rsidRDefault="002C60BA" w:rsidP="002103AD">
      <w:pPr>
        <w:pStyle w:val="Heading3"/>
        <w:jc w:val="both"/>
        <w:rPr>
          <w:lang w:val="pt-BR"/>
        </w:rPr>
      </w:pPr>
      <w:r>
        <w:rPr>
          <w:lang w:val="pt-BR"/>
        </w:rPr>
        <w:t>M</w:t>
      </w:r>
      <w:r w:rsidR="001E2113">
        <w:rPr>
          <w:lang w:val="pt-BR"/>
        </w:rPr>
        <w:t>udança</w:t>
      </w:r>
      <w:r>
        <w:rPr>
          <w:lang w:val="pt-BR"/>
        </w:rPr>
        <w:t>s</w:t>
      </w:r>
      <w:r w:rsidR="001E2113">
        <w:rPr>
          <w:lang w:val="pt-BR"/>
        </w:rPr>
        <w:t xml:space="preserve"> </w:t>
      </w:r>
      <w:r>
        <w:rPr>
          <w:lang w:val="pt-BR"/>
        </w:rPr>
        <w:t>d</w:t>
      </w:r>
      <w:r w:rsidR="001E2113">
        <w:rPr>
          <w:lang w:val="pt-BR"/>
        </w:rPr>
        <w:t>o uso d</w:t>
      </w:r>
      <w:r w:rsidR="00121D0E">
        <w:rPr>
          <w:lang w:val="pt-BR"/>
        </w:rPr>
        <w:t>a terra</w:t>
      </w:r>
      <w:r w:rsidR="001E2113">
        <w:rPr>
          <w:lang w:val="pt-BR"/>
        </w:rPr>
        <w:t xml:space="preserve"> (Dados de atividade)</w:t>
      </w:r>
    </w:p>
    <w:p w14:paraId="05406529" w14:textId="2D5D13AB" w:rsidR="002C60BA" w:rsidRPr="002A31DB" w:rsidRDefault="002C60BA" w:rsidP="002C60BA">
      <w:pPr>
        <w:jc w:val="both"/>
        <w:rPr>
          <w:lang w:val="pt-BR"/>
        </w:rPr>
      </w:pPr>
      <w:r w:rsidRPr="002A31DB">
        <w:rPr>
          <w:lang w:val="pt-BR"/>
        </w:rPr>
        <w:t xml:space="preserve">A área de mudança </w:t>
      </w:r>
      <w:r>
        <w:rPr>
          <w:lang w:val="pt-BR"/>
        </w:rPr>
        <w:t>no</w:t>
      </w:r>
      <w:r w:rsidRPr="002A31DB">
        <w:rPr>
          <w:lang w:val="pt-BR"/>
        </w:rPr>
        <w:t xml:space="preserve"> uso da terra foi estimada usando dados </w:t>
      </w:r>
      <w:r w:rsidR="00B159F1">
        <w:rPr>
          <w:lang w:val="pt-BR"/>
        </w:rPr>
        <w:t>gerados</w:t>
      </w:r>
      <w:r w:rsidRPr="002A31DB">
        <w:rPr>
          <w:lang w:val="pt-BR"/>
        </w:rPr>
        <w:t xml:space="preserve"> pelo Projeto Brasileiro de Mapeamento de Uso e Cobertura da Terra (</w:t>
      </w:r>
      <w:proofErr w:type="spellStart"/>
      <w:r w:rsidRPr="002A31DB">
        <w:rPr>
          <w:lang w:val="pt-BR"/>
        </w:rPr>
        <w:t>Map</w:t>
      </w:r>
      <w:r>
        <w:rPr>
          <w:lang w:val="pt-BR"/>
        </w:rPr>
        <w:t>b</w:t>
      </w:r>
      <w:r w:rsidRPr="002A31DB">
        <w:rPr>
          <w:lang w:val="pt-BR"/>
        </w:rPr>
        <w:t>iomas</w:t>
      </w:r>
      <w:proofErr w:type="spellEnd"/>
      <w:r w:rsidRPr="002A31DB">
        <w:rPr>
          <w:lang w:val="pt-BR"/>
        </w:rPr>
        <w:t>)</w:t>
      </w:r>
      <w:r>
        <w:rPr>
          <w:rStyle w:val="FootnoteReference"/>
          <w:lang w:val="pt-BR"/>
        </w:rPr>
        <w:footnoteReference w:id="3"/>
      </w:r>
      <w:r w:rsidRPr="002A31DB">
        <w:rPr>
          <w:lang w:val="pt-BR"/>
        </w:rPr>
        <w:t xml:space="preserve">, que é um esforço colaborativo dedicado a fornecer mapas de cobertura de terra gratuitos e de alta qualidade ao público. Esses dados são derivados de imagens </w:t>
      </w:r>
      <w:proofErr w:type="spellStart"/>
      <w:r w:rsidRPr="002A31DB">
        <w:rPr>
          <w:lang w:val="pt-BR"/>
        </w:rPr>
        <w:t>Landsat</w:t>
      </w:r>
      <w:proofErr w:type="spellEnd"/>
      <w:r w:rsidRPr="002A31DB">
        <w:rPr>
          <w:lang w:val="pt-BR"/>
        </w:rPr>
        <w:t xml:space="preserve"> </w:t>
      </w:r>
      <w:r>
        <w:rPr>
          <w:lang w:val="pt-BR"/>
        </w:rPr>
        <w:t xml:space="preserve">8 </w:t>
      </w:r>
      <w:r w:rsidRPr="002A31DB">
        <w:rPr>
          <w:lang w:val="pt-BR"/>
        </w:rPr>
        <w:t xml:space="preserve">(resolução </w:t>
      </w:r>
      <w:r>
        <w:rPr>
          <w:lang w:val="pt-BR"/>
        </w:rPr>
        <w:t xml:space="preserve">espacial </w:t>
      </w:r>
      <w:r w:rsidRPr="002A31DB">
        <w:rPr>
          <w:lang w:val="pt-BR"/>
        </w:rPr>
        <w:t>de 30m) e contêm classes florestais, formações naturais não florestais, agrícolas</w:t>
      </w:r>
      <w:r>
        <w:rPr>
          <w:lang w:val="pt-BR"/>
        </w:rPr>
        <w:t>, campestres</w:t>
      </w:r>
      <w:r w:rsidRPr="002A31DB">
        <w:rPr>
          <w:lang w:val="pt-BR"/>
        </w:rPr>
        <w:t xml:space="preserve"> e urbanas.</w:t>
      </w:r>
    </w:p>
    <w:p w14:paraId="13E8C21E" w14:textId="488B9B46" w:rsidR="002C60BA" w:rsidRDefault="002C60BA" w:rsidP="002C60BA">
      <w:pPr>
        <w:jc w:val="both"/>
        <w:rPr>
          <w:lang w:val="pt-BR"/>
        </w:rPr>
      </w:pPr>
      <w:r w:rsidRPr="002A31DB">
        <w:rPr>
          <w:lang w:val="pt-BR"/>
        </w:rPr>
        <w:t xml:space="preserve">A </w:t>
      </w:r>
      <w:r>
        <w:rPr>
          <w:lang w:val="pt-BR"/>
        </w:rPr>
        <w:t xml:space="preserve">coleção 5 da série temporal publicada e disponibilizada pelo </w:t>
      </w:r>
      <w:proofErr w:type="spellStart"/>
      <w:r>
        <w:rPr>
          <w:lang w:val="pt-BR"/>
        </w:rPr>
        <w:t>Mapbiomas</w:t>
      </w:r>
      <w:proofErr w:type="spellEnd"/>
      <w:r>
        <w:rPr>
          <w:lang w:val="pt-BR"/>
        </w:rPr>
        <w:t xml:space="preserve"> foi empregada nas </w:t>
      </w:r>
      <w:r w:rsidRPr="002A31DB">
        <w:rPr>
          <w:lang w:val="pt-BR"/>
        </w:rPr>
        <w:t>análise</w:t>
      </w:r>
      <w:r>
        <w:rPr>
          <w:lang w:val="pt-BR"/>
        </w:rPr>
        <w:t xml:space="preserve">s. Com o apoio da própria equipe de geoprocessamento do </w:t>
      </w:r>
      <w:proofErr w:type="spellStart"/>
      <w:r>
        <w:rPr>
          <w:lang w:val="pt-BR"/>
        </w:rPr>
        <w:t>Mapbiomas</w:t>
      </w:r>
      <w:proofErr w:type="spellEnd"/>
      <w:r>
        <w:rPr>
          <w:lang w:val="pt-BR"/>
        </w:rPr>
        <w:t xml:space="preserve"> foram corrigidos </w:t>
      </w:r>
      <w:r>
        <w:rPr>
          <w:lang w:val="pt-BR"/>
        </w:rPr>
        <w:lastRenderedPageBreak/>
        <w:t>erros de deslocamento das imagens ano-após-ano</w:t>
      </w:r>
      <w:r w:rsidR="00911C5D">
        <w:rPr>
          <w:lang w:val="pt-BR"/>
        </w:rPr>
        <w:t>,</w:t>
      </w:r>
      <w:r>
        <w:rPr>
          <w:lang w:val="pt-BR"/>
        </w:rPr>
        <w:t xml:space="preserve"> limpeza de transições espúrias (que não persistem por 3 anos na categoria de uso final da transição) identificad</w:t>
      </w:r>
      <w:r w:rsidR="00911C5D">
        <w:rPr>
          <w:lang w:val="pt-BR"/>
        </w:rPr>
        <w:t>a</w:t>
      </w:r>
      <w:r>
        <w:rPr>
          <w:lang w:val="pt-BR"/>
        </w:rPr>
        <w:t xml:space="preserve">s em análises preliminares conduzidas pelo projeto através da realização de álgebra de mapa para estimação de dados de atividades. Para ajustes metodológicos desta ação a equipe contou com apoio do Laboratório de Geoprocessamento do LAPIG da UFG e dos técnicos do </w:t>
      </w:r>
      <w:proofErr w:type="spellStart"/>
      <w:r>
        <w:rPr>
          <w:lang w:val="pt-BR"/>
        </w:rPr>
        <w:t>Mapbiomas</w:t>
      </w:r>
      <w:proofErr w:type="spellEnd"/>
      <w:r>
        <w:rPr>
          <w:lang w:val="pt-BR"/>
        </w:rPr>
        <w:t xml:space="preserve">. Vários filtros de correção foram aplicados e os possíveis erros </w:t>
      </w:r>
      <w:r>
        <w:rPr>
          <w:lang w:val="pt-BR"/>
        </w:rPr>
        <w:t>foram corrigidos.</w:t>
      </w:r>
    </w:p>
    <w:p w14:paraId="4BD1632D" w14:textId="2ED0BACD" w:rsidR="000A5CE2" w:rsidRDefault="00775274" w:rsidP="002103AD">
      <w:pPr>
        <w:jc w:val="both"/>
        <w:rPr>
          <w:lang w:val="pt-BR"/>
        </w:rPr>
      </w:pPr>
      <w:r>
        <w:rPr>
          <w:lang w:val="pt-BR"/>
        </w:rPr>
        <w:t>Para um refinamento da análise da dinâmica florestal no estado de SP, as áreas florestais</w:t>
      </w:r>
      <w:r w:rsidR="002C60BA">
        <w:rPr>
          <w:lang w:val="pt-BR"/>
        </w:rPr>
        <w:t xml:space="preserve"> e áreas savânicas</w:t>
      </w:r>
      <w:r>
        <w:rPr>
          <w:lang w:val="pt-BR"/>
        </w:rPr>
        <w:t xml:space="preserve"> </w:t>
      </w:r>
      <w:r w:rsidR="002C60BA">
        <w:rPr>
          <w:lang w:val="pt-BR"/>
        </w:rPr>
        <w:t>mapeadas pelo</w:t>
      </w:r>
      <w:r>
        <w:rPr>
          <w:lang w:val="pt-BR"/>
        </w:rPr>
        <w:t xml:space="preserve"> </w:t>
      </w:r>
      <w:proofErr w:type="spellStart"/>
      <w:r>
        <w:rPr>
          <w:lang w:val="pt-BR"/>
        </w:rPr>
        <w:t>MapBiomas</w:t>
      </w:r>
      <w:proofErr w:type="spellEnd"/>
      <w:r>
        <w:rPr>
          <w:lang w:val="pt-BR"/>
        </w:rPr>
        <w:t xml:space="preserve"> foram cruzadas com as informações das fitofisionomias</w:t>
      </w:r>
      <w:r w:rsidR="00E2355C">
        <w:rPr>
          <w:lang w:val="pt-BR"/>
        </w:rPr>
        <w:t xml:space="preserve"> obtidas no III Inventário Estadual de GEE do setor mudanças do uso da terra e florestas</w:t>
      </w:r>
      <w:r w:rsidR="00E81557">
        <w:rPr>
          <w:lang w:val="pt-BR"/>
        </w:rPr>
        <w:t xml:space="preserve"> (ainda não publicados)</w:t>
      </w:r>
      <w:r w:rsidR="00E2355C">
        <w:rPr>
          <w:lang w:val="pt-BR"/>
        </w:rPr>
        <w:t xml:space="preserve"> e fornecidas pela FUNCATE. De acordo com o documento das estimativas de emissões e remoções o mapa de tipos de vegetação foram </w:t>
      </w:r>
      <w:r w:rsidR="00E2355C" w:rsidRPr="00E2355C">
        <w:rPr>
          <w:lang w:val="pt-BR"/>
        </w:rPr>
        <w:t>resultado da combinação dos mapas de vegetação do Instituto Brasileiro de Geografia e Estatística (IBGE, 2004), do Projeto de Conservação e Utilização Sustentável da Diversidade Biológica Brasileira - PROBIO I (BRASIL, 2003) e da interpretação visual de imagens de 1994 para as áreas antropizadas em ambos.</w:t>
      </w:r>
      <w:r w:rsidR="00E2355C">
        <w:rPr>
          <w:lang w:val="pt-BR"/>
        </w:rPr>
        <w:t xml:space="preserve"> </w:t>
      </w:r>
    </w:p>
    <w:p w14:paraId="5EB2ECAF" w14:textId="1EE8186D" w:rsidR="00E81557" w:rsidRDefault="00E81557" w:rsidP="002103AD">
      <w:pPr>
        <w:jc w:val="both"/>
        <w:rPr>
          <w:lang w:val="pt-BR"/>
        </w:rPr>
      </w:pPr>
      <w:r>
        <w:rPr>
          <w:lang w:val="pt-BR"/>
        </w:rPr>
        <w:t xml:space="preserve">Tanto os dados do </w:t>
      </w:r>
      <w:proofErr w:type="spellStart"/>
      <w:r>
        <w:rPr>
          <w:lang w:val="pt-BR"/>
        </w:rPr>
        <w:t>MapBiomas</w:t>
      </w:r>
      <w:proofErr w:type="spellEnd"/>
      <w:r>
        <w:rPr>
          <w:lang w:val="pt-BR"/>
        </w:rPr>
        <w:t xml:space="preserve"> como os dados de tipo de vegetação fornecidos pela FUNCATE foram obtidos por meio de sensores </w:t>
      </w:r>
      <w:proofErr w:type="spellStart"/>
      <w:r>
        <w:rPr>
          <w:lang w:val="pt-BR"/>
        </w:rPr>
        <w:t>Landsat</w:t>
      </w:r>
      <w:proofErr w:type="spellEnd"/>
      <w:r>
        <w:rPr>
          <w:lang w:val="pt-BR"/>
        </w:rPr>
        <w:t xml:space="preserve"> com 30m de resolução espacial, o que possibilitou desagregar as classes florestais do </w:t>
      </w:r>
      <w:proofErr w:type="spellStart"/>
      <w:r>
        <w:rPr>
          <w:lang w:val="pt-BR"/>
        </w:rPr>
        <w:t>MapBiomas</w:t>
      </w:r>
      <w:proofErr w:type="spellEnd"/>
      <w:r>
        <w:rPr>
          <w:lang w:val="pt-BR"/>
        </w:rPr>
        <w:t xml:space="preserve"> em diferentes tipos florestais utilizando os dados da FUNCATE, fornecendo uma categorização florestal em maior riqueza de detalhes para o estado de SP.</w:t>
      </w:r>
    </w:p>
    <w:p w14:paraId="19E7A079" w14:textId="70CE321B" w:rsidR="00472CA3" w:rsidRPr="00787C5A" w:rsidRDefault="00E81557" w:rsidP="002103AD">
      <w:pPr>
        <w:jc w:val="both"/>
        <w:rPr>
          <w:lang w:val="pt-BR"/>
        </w:rPr>
      </w:pPr>
      <w:r>
        <w:rPr>
          <w:lang w:val="pt-BR"/>
        </w:rPr>
        <w:t xml:space="preserve">Além dessa integração de informações, os dados do </w:t>
      </w:r>
      <w:proofErr w:type="spellStart"/>
      <w:r>
        <w:rPr>
          <w:lang w:val="pt-BR"/>
        </w:rPr>
        <w:t>MapBiomas</w:t>
      </w:r>
      <w:proofErr w:type="spellEnd"/>
      <w:r>
        <w:rPr>
          <w:lang w:val="pt-BR"/>
        </w:rPr>
        <w:t xml:space="preserve"> referente a classe floresta plantada foram integrados com o mapa de tipos de florestas plantadas fornecido pelo Instituto Florestal (IF) de São Paulo, </w:t>
      </w:r>
      <w:r w:rsidRPr="00787C5A">
        <w:rPr>
          <w:lang w:val="pt-BR"/>
        </w:rPr>
        <w:t xml:space="preserve">diferenciando as plantações entre </w:t>
      </w:r>
      <w:r w:rsidR="00472CA3" w:rsidRPr="00787C5A">
        <w:rPr>
          <w:i/>
          <w:lang w:val="pt-BR"/>
        </w:rPr>
        <w:t>Eucalyptus spp</w:t>
      </w:r>
      <w:r w:rsidR="00472CA3" w:rsidRPr="00787C5A">
        <w:rPr>
          <w:lang w:val="pt-BR"/>
        </w:rPr>
        <w:t xml:space="preserve">. </w:t>
      </w:r>
      <w:proofErr w:type="spellStart"/>
      <w:r w:rsidR="00472CA3" w:rsidRPr="00787C5A">
        <w:rPr>
          <w:lang w:val="pt-BR"/>
        </w:rPr>
        <w:t>and</w:t>
      </w:r>
      <w:proofErr w:type="spellEnd"/>
      <w:r w:rsidR="00472CA3" w:rsidRPr="00787C5A">
        <w:rPr>
          <w:lang w:val="pt-BR"/>
        </w:rPr>
        <w:t xml:space="preserve"> </w:t>
      </w:r>
      <w:r w:rsidR="00472CA3" w:rsidRPr="00787C5A">
        <w:rPr>
          <w:i/>
          <w:lang w:val="pt-BR"/>
        </w:rPr>
        <w:t>Pinus spp.</w:t>
      </w:r>
      <w:r w:rsidR="00472CA3" w:rsidRPr="00787C5A">
        <w:rPr>
          <w:lang w:val="pt-BR"/>
        </w:rPr>
        <w:t xml:space="preserve"> </w:t>
      </w:r>
    </w:p>
    <w:p w14:paraId="31652155" w14:textId="11EE66E7" w:rsidR="00E81557" w:rsidRPr="00787C5A" w:rsidRDefault="00E81557" w:rsidP="002103AD">
      <w:pPr>
        <w:jc w:val="both"/>
        <w:rPr>
          <w:lang w:val="pt-BR"/>
        </w:rPr>
      </w:pPr>
      <w:r w:rsidRPr="00787C5A">
        <w:rPr>
          <w:lang w:val="pt-BR"/>
        </w:rPr>
        <w:t>A combinação de diferentes dados espaciais (</w:t>
      </w:r>
      <w:proofErr w:type="spellStart"/>
      <w:r w:rsidRPr="00787C5A">
        <w:rPr>
          <w:lang w:val="pt-BR"/>
        </w:rPr>
        <w:t>MapBiomas</w:t>
      </w:r>
      <w:proofErr w:type="spellEnd"/>
      <w:r w:rsidRPr="00787C5A">
        <w:rPr>
          <w:lang w:val="pt-BR"/>
        </w:rPr>
        <w:t>, FUNCATE e Instituto Florestal) possibilitou a estimativa das transições de usos da terra com uma resolução temporal de 20</w:t>
      </w:r>
      <w:r w:rsidR="002C60BA">
        <w:rPr>
          <w:lang w:val="pt-BR"/>
        </w:rPr>
        <w:t>10</w:t>
      </w:r>
      <w:r w:rsidRPr="00787C5A">
        <w:rPr>
          <w:lang w:val="pt-BR"/>
        </w:rPr>
        <w:t>-201</w:t>
      </w:r>
      <w:r w:rsidR="002C60BA">
        <w:rPr>
          <w:lang w:val="pt-BR"/>
        </w:rPr>
        <w:t>9</w:t>
      </w:r>
      <w:r w:rsidR="00787C5A" w:rsidRPr="00787C5A">
        <w:rPr>
          <w:lang w:val="pt-BR"/>
        </w:rPr>
        <w:t xml:space="preserve"> </w:t>
      </w:r>
      <w:r w:rsidRPr="00787C5A">
        <w:rPr>
          <w:lang w:val="pt-BR"/>
        </w:rPr>
        <w:t xml:space="preserve">e com uma classificação florestal </w:t>
      </w:r>
      <w:r w:rsidR="00CB757A" w:rsidRPr="00787C5A">
        <w:rPr>
          <w:lang w:val="pt-BR"/>
        </w:rPr>
        <w:t xml:space="preserve">detalhada </w:t>
      </w:r>
      <w:r w:rsidRPr="00787C5A">
        <w:rPr>
          <w:lang w:val="pt-BR"/>
        </w:rPr>
        <w:t>para o estado de São Paulo.</w:t>
      </w:r>
    </w:p>
    <w:p w14:paraId="674A78ED" w14:textId="189B134E" w:rsidR="002C60BA" w:rsidRPr="00EE031A" w:rsidRDefault="002C60BA" w:rsidP="002C60BA">
      <w:pPr>
        <w:jc w:val="both"/>
        <w:rPr>
          <w:lang w:val="pt-BR"/>
        </w:rPr>
      </w:pPr>
      <w:r w:rsidRPr="00EE031A">
        <w:rPr>
          <w:lang w:val="pt-BR"/>
        </w:rPr>
        <w:t xml:space="preserve">A abordagem </w:t>
      </w:r>
      <w:r>
        <w:rPr>
          <w:lang w:val="pt-BR"/>
        </w:rPr>
        <w:t xml:space="preserve">metodológica </w:t>
      </w:r>
      <w:r w:rsidRPr="00EE031A">
        <w:rPr>
          <w:lang w:val="pt-BR"/>
        </w:rPr>
        <w:t xml:space="preserve">adotada resultou em uma série temporal contendo </w:t>
      </w:r>
      <w:r>
        <w:rPr>
          <w:lang w:val="pt-BR"/>
        </w:rPr>
        <w:t xml:space="preserve">uma matriz com </w:t>
      </w:r>
      <w:r w:rsidRPr="00EE031A">
        <w:rPr>
          <w:lang w:val="pt-BR"/>
        </w:rPr>
        <w:t>transições</w:t>
      </w:r>
      <w:r>
        <w:rPr>
          <w:lang w:val="pt-BR"/>
        </w:rPr>
        <w:t xml:space="preserve"> no uso da terra </w:t>
      </w:r>
      <w:r w:rsidRPr="00EE031A">
        <w:rPr>
          <w:lang w:val="pt-BR"/>
        </w:rPr>
        <w:t>únicas</w:t>
      </w:r>
      <w:r>
        <w:rPr>
          <w:lang w:val="pt-BR"/>
        </w:rPr>
        <w:t xml:space="preserve"> caracterizando tanto o uso inicial (</w:t>
      </w:r>
      <w:proofErr w:type="spellStart"/>
      <w:r>
        <w:rPr>
          <w:lang w:val="pt-BR"/>
        </w:rPr>
        <w:t>pré</w:t>
      </w:r>
      <w:proofErr w:type="spellEnd"/>
      <w:r>
        <w:rPr>
          <w:lang w:val="pt-BR"/>
        </w:rPr>
        <w:t xml:space="preserve">-transição) como o uso final (pós-transição) </w:t>
      </w:r>
      <w:r w:rsidRPr="00EE031A">
        <w:rPr>
          <w:lang w:val="pt-BR"/>
        </w:rPr>
        <w:t>cobrindo todas as 5 classes de uso da terra do IPCC (2006)</w:t>
      </w:r>
      <w:r>
        <w:rPr>
          <w:lang w:val="pt-BR"/>
        </w:rPr>
        <w:t>, associadas ao seu</w:t>
      </w:r>
      <w:r w:rsidR="00911C5D">
        <w:rPr>
          <w:lang w:val="pt-BR"/>
        </w:rPr>
        <w:t>s</w:t>
      </w:r>
      <w:r>
        <w:rPr>
          <w:lang w:val="pt-BR"/>
        </w:rPr>
        <w:t xml:space="preserve"> respectivo</w:t>
      </w:r>
      <w:r w:rsidR="00911C5D">
        <w:rPr>
          <w:lang w:val="pt-BR"/>
        </w:rPr>
        <w:t>s</w:t>
      </w:r>
      <w:r>
        <w:rPr>
          <w:lang w:val="pt-BR"/>
        </w:rPr>
        <w:t xml:space="preserve"> bioma e fitofisionomias. Est</w:t>
      </w:r>
      <w:r w:rsidR="00911C5D">
        <w:rPr>
          <w:lang w:val="pt-BR"/>
        </w:rPr>
        <w:t>e</w:t>
      </w:r>
      <w:r>
        <w:rPr>
          <w:lang w:val="pt-BR"/>
        </w:rPr>
        <w:t xml:space="preserve"> cruza</w:t>
      </w:r>
      <w:r w:rsidR="00911C5D">
        <w:rPr>
          <w:lang w:val="pt-BR"/>
        </w:rPr>
        <w:t>mento</w:t>
      </w:r>
      <w:r>
        <w:rPr>
          <w:lang w:val="pt-BR"/>
        </w:rPr>
        <w:t xml:space="preserve"> de informações agrega granularidade às análises e busca aumentar a acurácia dos resultados.</w:t>
      </w:r>
      <w:r w:rsidRPr="00EE031A">
        <w:rPr>
          <w:lang w:val="pt-BR"/>
        </w:rPr>
        <w:t xml:space="preserve"> A figura 1 abaixo apresenta as áreas de mudança do uso da terra em </w:t>
      </w:r>
      <w:r>
        <w:rPr>
          <w:lang w:val="pt-BR"/>
        </w:rPr>
        <w:t>São Paulo</w:t>
      </w:r>
      <w:r w:rsidRPr="00EE031A">
        <w:rPr>
          <w:lang w:val="pt-BR"/>
        </w:rPr>
        <w:t xml:space="preserve"> entre 20</w:t>
      </w:r>
      <w:r>
        <w:rPr>
          <w:lang w:val="pt-BR"/>
        </w:rPr>
        <w:t>1</w:t>
      </w:r>
      <w:r w:rsidRPr="00EE031A">
        <w:rPr>
          <w:lang w:val="pt-BR"/>
        </w:rPr>
        <w:t>0-201</w:t>
      </w:r>
      <w:r>
        <w:rPr>
          <w:lang w:val="pt-BR"/>
        </w:rPr>
        <w:t>9</w:t>
      </w:r>
      <w:r w:rsidRPr="00EE031A">
        <w:rPr>
          <w:lang w:val="pt-BR"/>
        </w:rPr>
        <w:t>.</w:t>
      </w:r>
    </w:p>
    <w:p w14:paraId="0AE10B05" w14:textId="3E316E6F" w:rsidR="00B26F31" w:rsidRDefault="005568F9" w:rsidP="002103AD">
      <w:pPr>
        <w:jc w:val="both"/>
      </w:pPr>
      <w:r>
        <w:rPr>
          <w:noProof/>
        </w:rPr>
        <w:drawing>
          <wp:inline distT="0" distB="0" distL="0" distR="0" wp14:anchorId="0966735E" wp14:editId="4CB450D1">
            <wp:extent cx="5400040" cy="2059305"/>
            <wp:effectExtent l="0" t="0" r="10160" b="17145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F02D2E1B-73D4-4057-9FC5-2EC00F8FE2A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3662A182" w14:textId="17A0EEBF" w:rsidR="00B26F31" w:rsidRPr="006A69F5" w:rsidRDefault="009C567E" w:rsidP="009C567E">
      <w:pPr>
        <w:pStyle w:val="Caption"/>
        <w:rPr>
          <w:lang w:val="pt-BR"/>
        </w:rPr>
      </w:pPr>
      <w:bookmarkStart w:id="0" w:name="_Ref26697778"/>
      <w:r w:rsidRPr="009C567E">
        <w:rPr>
          <w:lang w:val="pt-BR"/>
        </w:rPr>
        <w:t xml:space="preserve">Figura </w:t>
      </w:r>
      <w:r w:rsidR="00004928">
        <w:rPr>
          <w:noProof/>
          <w:lang w:val="pt-BR"/>
        </w:rPr>
        <w:t>1</w:t>
      </w:r>
      <w:bookmarkEnd w:id="0"/>
      <w:r w:rsidR="00B26F31" w:rsidRPr="006A69F5">
        <w:rPr>
          <w:lang w:val="pt-BR"/>
        </w:rPr>
        <w:t xml:space="preserve">: </w:t>
      </w:r>
      <w:r w:rsidR="006A69F5">
        <w:rPr>
          <w:lang w:val="pt-BR"/>
        </w:rPr>
        <w:t>Mudanças de uso da terra (transições entre classes no período entre 20</w:t>
      </w:r>
      <w:r w:rsidR="005568F9">
        <w:rPr>
          <w:lang w:val="pt-BR"/>
        </w:rPr>
        <w:t>1</w:t>
      </w:r>
      <w:r w:rsidR="006A69F5">
        <w:rPr>
          <w:lang w:val="pt-BR"/>
        </w:rPr>
        <w:t>0-201</w:t>
      </w:r>
      <w:r w:rsidR="005568F9">
        <w:rPr>
          <w:lang w:val="pt-BR"/>
        </w:rPr>
        <w:t>9</w:t>
      </w:r>
      <w:r w:rsidR="006A69F5">
        <w:rPr>
          <w:lang w:val="pt-BR"/>
        </w:rPr>
        <w:t>)</w:t>
      </w:r>
    </w:p>
    <w:p w14:paraId="191BEE21" w14:textId="4E80F798" w:rsidR="00155F0E" w:rsidRDefault="00155F0E" w:rsidP="00413904">
      <w:pPr>
        <w:jc w:val="both"/>
        <w:rPr>
          <w:lang w:val="pt-BR"/>
        </w:rPr>
      </w:pPr>
      <w:r>
        <w:rPr>
          <w:lang w:val="pt-BR"/>
        </w:rPr>
        <w:lastRenderedPageBreak/>
        <w:t xml:space="preserve">A Figura </w:t>
      </w:r>
      <w:r w:rsidR="00897F67">
        <w:rPr>
          <w:lang w:val="pt-BR"/>
        </w:rPr>
        <w:t>1</w:t>
      </w:r>
      <w:r>
        <w:rPr>
          <w:lang w:val="pt-BR"/>
        </w:rPr>
        <w:t xml:space="preserve"> mostra </w:t>
      </w:r>
      <w:r w:rsidR="00413904">
        <w:rPr>
          <w:lang w:val="pt-BR"/>
        </w:rPr>
        <w:t xml:space="preserve">a dinâmica </w:t>
      </w:r>
      <w:r w:rsidR="00317EB0">
        <w:rPr>
          <w:lang w:val="pt-BR"/>
        </w:rPr>
        <w:t xml:space="preserve">da conversão </w:t>
      </w:r>
      <w:r w:rsidR="00413904">
        <w:rPr>
          <w:lang w:val="pt-BR"/>
        </w:rPr>
        <w:t>de diferentes</w:t>
      </w:r>
      <w:r>
        <w:rPr>
          <w:lang w:val="pt-BR"/>
        </w:rPr>
        <w:t xml:space="preserve"> usos</w:t>
      </w:r>
      <w:r w:rsidR="00413904">
        <w:rPr>
          <w:lang w:val="pt-BR"/>
        </w:rPr>
        <w:t xml:space="preserve"> da terra no estado de SP. </w:t>
      </w:r>
      <w:r w:rsidR="00911C5D">
        <w:rPr>
          <w:lang w:val="pt-BR"/>
        </w:rPr>
        <w:t>M</w:t>
      </w:r>
      <w:r w:rsidR="00413904">
        <w:rPr>
          <w:lang w:val="pt-BR"/>
        </w:rPr>
        <w:t>erece</w:t>
      </w:r>
      <w:r w:rsidR="00911C5D">
        <w:rPr>
          <w:lang w:val="pt-BR"/>
        </w:rPr>
        <w:t>m</w:t>
      </w:r>
      <w:r w:rsidR="00413904">
        <w:rPr>
          <w:lang w:val="pt-BR"/>
        </w:rPr>
        <w:t xml:space="preserve"> destaque as conversões </w:t>
      </w:r>
      <w:r>
        <w:rPr>
          <w:lang w:val="pt-BR"/>
        </w:rPr>
        <w:t xml:space="preserve">para </w:t>
      </w:r>
      <w:r w:rsidR="00413904">
        <w:rPr>
          <w:lang w:val="pt-BR"/>
        </w:rPr>
        <w:t xml:space="preserve">as </w:t>
      </w:r>
      <w:r>
        <w:rPr>
          <w:lang w:val="pt-BR"/>
        </w:rPr>
        <w:t>áreas agrícolas</w:t>
      </w:r>
      <w:r w:rsidR="00317EB0">
        <w:rPr>
          <w:lang w:val="pt-BR"/>
        </w:rPr>
        <w:t>,</w:t>
      </w:r>
      <w:r>
        <w:rPr>
          <w:lang w:val="pt-BR"/>
        </w:rPr>
        <w:t xml:space="preserve"> entre 20</w:t>
      </w:r>
      <w:r w:rsidR="003A45E6">
        <w:rPr>
          <w:lang w:val="pt-BR"/>
        </w:rPr>
        <w:t>1</w:t>
      </w:r>
      <w:r>
        <w:rPr>
          <w:lang w:val="pt-BR"/>
        </w:rPr>
        <w:t>0-201</w:t>
      </w:r>
      <w:r w:rsidR="003A45E6">
        <w:rPr>
          <w:lang w:val="pt-BR"/>
        </w:rPr>
        <w:t>9</w:t>
      </w:r>
      <w:r w:rsidR="00317EB0">
        <w:rPr>
          <w:lang w:val="pt-BR"/>
        </w:rPr>
        <w:t>,</w:t>
      </w:r>
      <w:r>
        <w:rPr>
          <w:lang w:val="pt-BR"/>
        </w:rPr>
        <w:t xml:space="preserve"> </w:t>
      </w:r>
      <w:r w:rsidR="00413904">
        <w:rPr>
          <w:lang w:val="pt-BR"/>
        </w:rPr>
        <w:t xml:space="preserve">com uma média anual de transição de </w:t>
      </w:r>
      <w:r w:rsidR="003A45E6">
        <w:rPr>
          <w:lang w:val="pt-BR"/>
        </w:rPr>
        <w:t>aproximadamente 253</w:t>
      </w:r>
      <w:r w:rsidR="00A72066">
        <w:rPr>
          <w:lang w:val="pt-BR"/>
        </w:rPr>
        <w:t>,4</w:t>
      </w:r>
      <w:r w:rsidR="003A45E6">
        <w:rPr>
          <w:lang w:val="pt-BR"/>
        </w:rPr>
        <w:t xml:space="preserve"> mil</w:t>
      </w:r>
      <w:r w:rsidR="00413904">
        <w:rPr>
          <w:lang w:val="pt-BR"/>
        </w:rPr>
        <w:t xml:space="preserve"> hectares; outra transição significativa, no mesmo período, em SP foi para as áreas florestais com uma média anual de </w:t>
      </w:r>
      <w:r w:rsidR="003A45E6">
        <w:rPr>
          <w:lang w:val="pt-BR"/>
        </w:rPr>
        <w:t>aproximadamente 23</w:t>
      </w:r>
      <w:r w:rsidR="00A72066">
        <w:rPr>
          <w:lang w:val="pt-BR"/>
        </w:rPr>
        <w:t>,2</w:t>
      </w:r>
      <w:r w:rsidR="003A45E6">
        <w:rPr>
          <w:lang w:val="pt-BR"/>
        </w:rPr>
        <w:t xml:space="preserve"> mil</w:t>
      </w:r>
      <w:r w:rsidR="00413904">
        <w:rPr>
          <w:lang w:val="pt-BR"/>
        </w:rPr>
        <w:t xml:space="preserve"> hectares; </w:t>
      </w:r>
      <w:proofErr w:type="spellStart"/>
      <w:r w:rsidR="00413904">
        <w:rPr>
          <w:lang w:val="pt-BR"/>
        </w:rPr>
        <w:t>por</w:t>
      </w:r>
      <w:proofErr w:type="spellEnd"/>
      <w:r w:rsidR="00413904">
        <w:rPr>
          <w:lang w:val="pt-BR"/>
        </w:rPr>
        <w:t xml:space="preserve"> fim a transição média anual para formações campestres (incluindo pastagem plantada e naturais) foi para </w:t>
      </w:r>
      <w:r w:rsidR="003A45E6">
        <w:rPr>
          <w:lang w:val="pt-BR"/>
        </w:rPr>
        <w:t>o mesmo período</w:t>
      </w:r>
      <w:r w:rsidR="00413904">
        <w:rPr>
          <w:lang w:val="pt-BR"/>
        </w:rPr>
        <w:t xml:space="preserve"> de </w:t>
      </w:r>
      <w:r w:rsidR="003A45E6">
        <w:rPr>
          <w:lang w:val="pt-BR"/>
        </w:rPr>
        <w:t>20</w:t>
      </w:r>
      <w:r w:rsidR="00A72066">
        <w:rPr>
          <w:lang w:val="pt-BR"/>
        </w:rPr>
        <w:t>,2</w:t>
      </w:r>
      <w:r w:rsidR="003A45E6">
        <w:rPr>
          <w:lang w:val="pt-BR"/>
        </w:rPr>
        <w:t xml:space="preserve"> mil</w:t>
      </w:r>
      <w:r w:rsidR="00413904">
        <w:rPr>
          <w:lang w:val="pt-BR"/>
        </w:rPr>
        <w:t xml:space="preserve"> hectares. </w:t>
      </w:r>
    </w:p>
    <w:p w14:paraId="1124E587" w14:textId="44A76B1E" w:rsidR="00992194" w:rsidRDefault="00992194" w:rsidP="00992194">
      <w:pPr>
        <w:jc w:val="both"/>
        <w:rPr>
          <w:lang w:val="pt-BR"/>
        </w:rPr>
      </w:pPr>
      <w:r>
        <w:rPr>
          <w:lang w:val="pt-BR"/>
        </w:rPr>
        <w:t xml:space="preserve">A área de transição para florestas representa a segunda transição em ordem de magnitude, podendo ser resultante do abandono das terras utilizadas para fins agropecuários, o que propiciou a regeneração da floresta removida anteriormente. Em outras palavras, as áreas desmatadas no passado podem ter sido abandonadas devido à insustentabilidade da ocupação da terra e produção agropecuária in loco, </w:t>
      </w:r>
      <w:r w:rsidRPr="00EE031A">
        <w:rPr>
          <w:lang w:val="pt-BR"/>
        </w:rPr>
        <w:t xml:space="preserve">resultando na regeneração </w:t>
      </w:r>
      <w:r>
        <w:rPr>
          <w:lang w:val="pt-BR"/>
        </w:rPr>
        <w:t>ecológica</w:t>
      </w:r>
      <w:r w:rsidRPr="00EE031A">
        <w:rPr>
          <w:lang w:val="pt-BR"/>
        </w:rPr>
        <w:t>.</w:t>
      </w:r>
      <w:r>
        <w:rPr>
          <w:lang w:val="pt-BR"/>
        </w:rPr>
        <w:t xml:space="preserve"> Vale citar também </w:t>
      </w:r>
      <w:r w:rsidR="003A45E6">
        <w:rPr>
          <w:lang w:val="pt-BR"/>
        </w:rPr>
        <w:t xml:space="preserve">que no período teve </w:t>
      </w:r>
      <w:r>
        <w:rPr>
          <w:lang w:val="pt-BR"/>
        </w:rPr>
        <w:t>início o processo de regularização ambiental dos imóveis rurais</w:t>
      </w:r>
      <w:r w:rsidR="003A45E6">
        <w:rPr>
          <w:lang w:val="pt-BR"/>
        </w:rPr>
        <w:t>, conforme Lei Federal n°12.651/2012</w:t>
      </w:r>
      <w:r>
        <w:rPr>
          <w:lang w:val="pt-BR"/>
        </w:rPr>
        <w:t>.</w:t>
      </w:r>
    </w:p>
    <w:p w14:paraId="15B64FF8" w14:textId="49481C62" w:rsidR="00A66363" w:rsidRDefault="00A66363" w:rsidP="00A66363">
      <w:pPr>
        <w:pStyle w:val="Heading3"/>
        <w:rPr>
          <w:lang w:val="pt-BR"/>
        </w:rPr>
      </w:pPr>
      <w:r w:rsidRPr="007A0ACC">
        <w:rPr>
          <w:lang w:val="pt-BR"/>
        </w:rPr>
        <w:t>Des</w:t>
      </w:r>
      <w:r>
        <w:rPr>
          <w:lang w:val="pt-BR"/>
        </w:rPr>
        <w:t>florestamento</w:t>
      </w:r>
    </w:p>
    <w:p w14:paraId="6AB732CD" w14:textId="4E430019" w:rsidR="00992194" w:rsidRDefault="00A66363" w:rsidP="00A66363">
      <w:pPr>
        <w:jc w:val="both"/>
        <w:rPr>
          <w:lang w:val="pt-BR"/>
        </w:rPr>
      </w:pPr>
      <w:r w:rsidRPr="00EE031A">
        <w:rPr>
          <w:lang w:val="pt-BR"/>
        </w:rPr>
        <w:t>A área des</w:t>
      </w:r>
      <w:r>
        <w:rPr>
          <w:lang w:val="pt-BR"/>
        </w:rPr>
        <w:t>florestada em</w:t>
      </w:r>
      <w:r w:rsidRPr="00EE031A">
        <w:rPr>
          <w:lang w:val="pt-BR"/>
        </w:rPr>
        <w:t xml:space="preserve"> </w:t>
      </w:r>
      <w:r>
        <w:rPr>
          <w:lang w:val="pt-BR"/>
        </w:rPr>
        <w:t>São Paulo</w:t>
      </w:r>
      <w:r w:rsidRPr="00EE031A">
        <w:rPr>
          <w:lang w:val="pt-BR"/>
        </w:rPr>
        <w:t xml:space="preserve"> </w:t>
      </w:r>
      <w:r>
        <w:rPr>
          <w:lang w:val="pt-BR"/>
        </w:rPr>
        <w:t xml:space="preserve">demonstra uma certa estabilidade </w:t>
      </w:r>
      <w:r w:rsidRPr="00EE031A">
        <w:rPr>
          <w:lang w:val="pt-BR"/>
        </w:rPr>
        <w:t>ao longo do período de referência</w:t>
      </w:r>
      <w:r>
        <w:rPr>
          <w:lang w:val="pt-BR"/>
        </w:rPr>
        <w:t xml:space="preserve"> (figura 2). No bioma Mata Atlântica a média anual no período de 20</w:t>
      </w:r>
      <w:r w:rsidR="00FF634B">
        <w:rPr>
          <w:lang w:val="pt-BR"/>
        </w:rPr>
        <w:t>10</w:t>
      </w:r>
      <w:r>
        <w:rPr>
          <w:lang w:val="pt-BR"/>
        </w:rPr>
        <w:t>-201</w:t>
      </w:r>
      <w:r w:rsidR="00FF634B">
        <w:rPr>
          <w:lang w:val="pt-BR"/>
        </w:rPr>
        <w:t>9</w:t>
      </w:r>
      <w:r>
        <w:rPr>
          <w:lang w:val="pt-BR"/>
        </w:rPr>
        <w:t xml:space="preserve"> foi de </w:t>
      </w:r>
      <w:r w:rsidR="00FF634B">
        <w:rPr>
          <w:lang w:val="pt-BR"/>
        </w:rPr>
        <w:t>aproximadamente 17</w:t>
      </w:r>
      <w:r w:rsidR="00A72066">
        <w:rPr>
          <w:lang w:val="pt-BR"/>
        </w:rPr>
        <w:t>,4</w:t>
      </w:r>
      <w:r w:rsidR="00FF634B">
        <w:rPr>
          <w:lang w:val="pt-BR"/>
        </w:rPr>
        <w:t xml:space="preserve"> mil</w:t>
      </w:r>
      <w:r>
        <w:rPr>
          <w:lang w:val="pt-BR"/>
        </w:rPr>
        <w:t xml:space="preserve"> hectares, já para o Cerrado a média anual de desflorestamento no mesmo período foi de </w:t>
      </w:r>
      <w:r w:rsidR="00FF634B">
        <w:rPr>
          <w:lang w:val="pt-BR"/>
        </w:rPr>
        <w:t xml:space="preserve">aproximadamente </w:t>
      </w:r>
      <w:r>
        <w:rPr>
          <w:lang w:val="pt-BR"/>
        </w:rPr>
        <w:t>10</w:t>
      </w:r>
      <w:r w:rsidR="00A72066">
        <w:rPr>
          <w:lang w:val="pt-BR"/>
        </w:rPr>
        <w:t>,6</w:t>
      </w:r>
      <w:r w:rsidR="00FF634B">
        <w:rPr>
          <w:lang w:val="pt-BR"/>
        </w:rPr>
        <w:t xml:space="preserve"> mil</w:t>
      </w:r>
      <w:r>
        <w:rPr>
          <w:lang w:val="pt-BR"/>
        </w:rPr>
        <w:t xml:space="preserve"> hectares. Foi identificado que em 201</w:t>
      </w:r>
      <w:r w:rsidR="00FF634B">
        <w:rPr>
          <w:lang w:val="pt-BR"/>
        </w:rPr>
        <w:t>3</w:t>
      </w:r>
      <w:r>
        <w:rPr>
          <w:lang w:val="pt-BR"/>
        </w:rPr>
        <w:t xml:space="preserve"> houve o pico do desflorestamento em São Paulo em ambos os biomas, na Mata Atlântica foi de </w:t>
      </w:r>
      <w:r w:rsidR="00FF634B">
        <w:rPr>
          <w:lang w:val="pt-BR"/>
        </w:rPr>
        <w:t>23</w:t>
      </w:r>
      <w:r w:rsidR="00A72066">
        <w:rPr>
          <w:lang w:val="pt-BR"/>
        </w:rPr>
        <w:t>,6</w:t>
      </w:r>
      <w:r w:rsidR="00FF634B">
        <w:rPr>
          <w:lang w:val="pt-BR"/>
        </w:rPr>
        <w:t xml:space="preserve"> mil</w:t>
      </w:r>
      <w:r>
        <w:rPr>
          <w:lang w:val="pt-BR"/>
        </w:rPr>
        <w:t xml:space="preserve"> ha e no Cerrado foi de 1</w:t>
      </w:r>
      <w:r w:rsidR="00FF634B">
        <w:rPr>
          <w:lang w:val="pt-BR"/>
        </w:rPr>
        <w:t>7</w:t>
      </w:r>
      <w:r w:rsidR="00A72066">
        <w:rPr>
          <w:lang w:val="pt-BR"/>
        </w:rPr>
        <w:t>,0</w:t>
      </w:r>
      <w:r w:rsidR="00FF634B">
        <w:rPr>
          <w:lang w:val="pt-BR"/>
        </w:rPr>
        <w:t xml:space="preserve"> mil</w:t>
      </w:r>
      <w:r>
        <w:rPr>
          <w:lang w:val="pt-BR"/>
        </w:rPr>
        <w:t xml:space="preserve"> ha, somando um total de área desflorestada de </w:t>
      </w:r>
      <w:r w:rsidR="00FF634B">
        <w:rPr>
          <w:lang w:val="pt-BR"/>
        </w:rPr>
        <w:t xml:space="preserve">aproximadamente </w:t>
      </w:r>
      <w:r w:rsidR="00ED0C62">
        <w:rPr>
          <w:lang w:val="pt-BR"/>
        </w:rPr>
        <w:t>40,6 mil</w:t>
      </w:r>
      <w:r>
        <w:rPr>
          <w:lang w:val="pt-BR"/>
        </w:rPr>
        <w:t xml:space="preserve"> hectares. </w:t>
      </w:r>
    </w:p>
    <w:p w14:paraId="2499D8CA" w14:textId="3D1E88FC" w:rsidR="00A66363" w:rsidRDefault="00A66363" w:rsidP="00413904">
      <w:pPr>
        <w:jc w:val="both"/>
        <w:rPr>
          <w:lang w:val="pt-BR"/>
        </w:rPr>
      </w:pPr>
    </w:p>
    <w:p w14:paraId="577A0FF3" w14:textId="5ADF326D" w:rsidR="00A66363" w:rsidRDefault="00FF634B" w:rsidP="00413904">
      <w:pPr>
        <w:jc w:val="both"/>
        <w:rPr>
          <w:lang w:val="pt-BR"/>
        </w:rPr>
      </w:pPr>
      <w:r>
        <w:rPr>
          <w:noProof/>
        </w:rPr>
        <w:drawing>
          <wp:inline distT="0" distB="0" distL="0" distR="0" wp14:anchorId="3F9E7490" wp14:editId="3CEA808B">
            <wp:extent cx="5264453" cy="2169583"/>
            <wp:effectExtent l="0" t="0" r="12700" b="2540"/>
            <wp:docPr id="3" name="Gráfico 3">
              <a:extLst xmlns:a="http://schemas.openxmlformats.org/drawingml/2006/main">
                <a:ext uri="{FF2B5EF4-FFF2-40B4-BE49-F238E27FC236}">
                  <a16:creationId xmlns:a16="http://schemas.microsoft.com/office/drawing/2014/main" id="{70E5881A-92F0-490B-BF68-217A1BAC4F7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5058CB0F" w14:textId="499009A8" w:rsidR="00A66363" w:rsidRDefault="00A66363" w:rsidP="00A66363">
      <w:pPr>
        <w:pStyle w:val="Caption"/>
        <w:rPr>
          <w:lang w:val="pt-BR"/>
        </w:rPr>
      </w:pPr>
      <w:bookmarkStart w:id="1" w:name="_Ref32356758"/>
      <w:r w:rsidRPr="007A0ACC">
        <w:rPr>
          <w:lang w:val="pt-BR"/>
        </w:rPr>
        <w:t xml:space="preserve">Figura </w:t>
      </w:r>
      <w:r>
        <w:rPr>
          <w:noProof/>
          <w:lang w:val="pt-BR"/>
        </w:rPr>
        <w:t>2</w:t>
      </w:r>
      <w:bookmarkEnd w:id="1"/>
      <w:r w:rsidRPr="00EE031A">
        <w:rPr>
          <w:lang w:val="pt-BR"/>
        </w:rPr>
        <w:t>: Des</w:t>
      </w:r>
      <w:r>
        <w:rPr>
          <w:lang w:val="pt-BR"/>
        </w:rPr>
        <w:t>florestamento</w:t>
      </w:r>
      <w:r w:rsidRPr="00EE031A">
        <w:rPr>
          <w:lang w:val="pt-BR"/>
        </w:rPr>
        <w:t xml:space="preserve"> anual por bioma </w:t>
      </w:r>
      <w:r>
        <w:rPr>
          <w:lang w:val="pt-BR"/>
        </w:rPr>
        <w:t>em</w:t>
      </w:r>
      <w:r w:rsidRPr="00EE031A">
        <w:rPr>
          <w:lang w:val="pt-BR"/>
        </w:rPr>
        <w:t xml:space="preserve"> </w:t>
      </w:r>
      <w:r>
        <w:rPr>
          <w:lang w:val="pt-BR"/>
        </w:rPr>
        <w:t>São Paulo</w:t>
      </w:r>
    </w:p>
    <w:p w14:paraId="4D5928F8" w14:textId="77777777" w:rsidR="00173A9F" w:rsidRPr="00E22BCF" w:rsidRDefault="00173A9F" w:rsidP="00E22BCF">
      <w:pPr>
        <w:rPr>
          <w:lang w:val="pt-BR"/>
        </w:rPr>
      </w:pPr>
    </w:p>
    <w:p w14:paraId="771F61F0" w14:textId="1B5FB70D" w:rsidR="00E22BCF" w:rsidRPr="00EE031A" w:rsidRDefault="00E22BCF" w:rsidP="00E22BCF">
      <w:pPr>
        <w:pStyle w:val="Heading3"/>
        <w:rPr>
          <w:lang w:val="pt-BR"/>
        </w:rPr>
      </w:pPr>
      <w:r>
        <w:rPr>
          <w:lang w:val="pt-BR"/>
        </w:rPr>
        <w:t>Floresta que permanece floresta</w:t>
      </w:r>
    </w:p>
    <w:p w14:paraId="1D4D8208" w14:textId="5BAD0BAC" w:rsidR="00E22BCF" w:rsidRDefault="00E22BCF" w:rsidP="00E22BCF">
      <w:pPr>
        <w:jc w:val="both"/>
        <w:rPr>
          <w:lang w:val="pt-BR"/>
        </w:rPr>
      </w:pPr>
      <w:r w:rsidRPr="00EE031A">
        <w:rPr>
          <w:lang w:val="pt-BR"/>
        </w:rPr>
        <w:t xml:space="preserve">A área </w:t>
      </w:r>
      <w:r>
        <w:rPr>
          <w:lang w:val="pt-BR"/>
        </w:rPr>
        <w:t>que permanece floresta em</w:t>
      </w:r>
      <w:r w:rsidRPr="00EE031A">
        <w:rPr>
          <w:lang w:val="pt-BR"/>
        </w:rPr>
        <w:t xml:space="preserve"> </w:t>
      </w:r>
      <w:r>
        <w:rPr>
          <w:lang w:val="pt-BR"/>
        </w:rPr>
        <w:t>São Paulo</w:t>
      </w:r>
      <w:r w:rsidRPr="00EE031A">
        <w:rPr>
          <w:lang w:val="pt-BR"/>
        </w:rPr>
        <w:t xml:space="preserve"> </w:t>
      </w:r>
      <w:r>
        <w:rPr>
          <w:lang w:val="pt-BR"/>
        </w:rPr>
        <w:t xml:space="preserve">demonstra uma certa estabilidade (figura </w:t>
      </w:r>
      <w:r w:rsidR="00163B90">
        <w:rPr>
          <w:lang w:val="pt-BR"/>
        </w:rPr>
        <w:t>3</w:t>
      </w:r>
      <w:r>
        <w:rPr>
          <w:lang w:val="pt-BR"/>
        </w:rPr>
        <w:t>) de aproximadamente 2 milhões de hectares</w:t>
      </w:r>
      <w:r w:rsidR="00911C5D" w:rsidRPr="00911C5D">
        <w:rPr>
          <w:lang w:val="pt-BR"/>
        </w:rPr>
        <w:t xml:space="preserve"> </w:t>
      </w:r>
      <w:r w:rsidR="00911C5D" w:rsidRPr="00EE031A">
        <w:rPr>
          <w:lang w:val="pt-BR"/>
        </w:rPr>
        <w:t>ao longo do período de referência</w:t>
      </w:r>
      <w:r>
        <w:rPr>
          <w:lang w:val="pt-BR"/>
        </w:rPr>
        <w:t xml:space="preserve">. No bioma Mata Atlântica a média anual no período de 2010-2019 foi de aproximadamente 1,8 milhões de hectares, já para o Cerrado a média anual de permanência no mesmo período foi de aproximadamente 118,3 mil hectares. </w:t>
      </w:r>
    </w:p>
    <w:p w14:paraId="1DFE69E2" w14:textId="4430B54E" w:rsidR="00E22BCF" w:rsidRDefault="00E22BCF" w:rsidP="00E22BCF">
      <w:pPr>
        <w:jc w:val="both"/>
        <w:rPr>
          <w:lang w:val="pt-BR"/>
        </w:rPr>
      </w:pPr>
    </w:p>
    <w:p w14:paraId="1BA83FA3" w14:textId="42D11D9E" w:rsidR="00E22BCF" w:rsidRDefault="00E22BCF" w:rsidP="00E22BCF">
      <w:pPr>
        <w:jc w:val="both"/>
        <w:rPr>
          <w:lang w:val="pt-BR"/>
        </w:rPr>
      </w:pPr>
      <w:r>
        <w:rPr>
          <w:noProof/>
        </w:rPr>
        <w:lastRenderedPageBreak/>
        <w:drawing>
          <wp:inline distT="0" distB="0" distL="0" distR="0" wp14:anchorId="6B6A0F90" wp14:editId="157E2BE0">
            <wp:extent cx="5400040" cy="1762125"/>
            <wp:effectExtent l="0" t="0" r="10160" b="9525"/>
            <wp:docPr id="7" name="Gráfico 7">
              <a:extLst xmlns:a="http://schemas.openxmlformats.org/drawingml/2006/main">
                <a:ext uri="{FF2B5EF4-FFF2-40B4-BE49-F238E27FC236}">
                  <a16:creationId xmlns:a16="http://schemas.microsoft.com/office/drawing/2014/main" id="{409A1043-1116-4256-9238-17D698B9154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7F71F825" w14:textId="459146D7" w:rsidR="00163B90" w:rsidRDefault="00163B90" w:rsidP="00163B90">
      <w:pPr>
        <w:pStyle w:val="Caption"/>
        <w:rPr>
          <w:noProof/>
          <w:lang w:val="pt-BR"/>
        </w:rPr>
      </w:pPr>
      <w:bookmarkStart w:id="2" w:name="_Ref58434356"/>
      <w:r w:rsidRPr="00D53121">
        <w:rPr>
          <w:lang w:val="pt-BR"/>
        </w:rPr>
        <w:t xml:space="preserve">Figura </w:t>
      </w:r>
      <w:r w:rsidRPr="00D53121">
        <w:rPr>
          <w:noProof/>
          <w:lang w:val="pt-BR"/>
        </w:rPr>
        <w:t>3</w:t>
      </w:r>
      <w:bookmarkEnd w:id="2"/>
      <w:r w:rsidRPr="00D53121">
        <w:rPr>
          <w:lang w:val="pt-BR"/>
        </w:rPr>
        <w:t xml:space="preserve">: Área de floresta permanente </w:t>
      </w:r>
      <w:r>
        <w:rPr>
          <w:lang w:val="pt-BR"/>
        </w:rPr>
        <w:t>no Estado de São Paulo.</w:t>
      </w:r>
    </w:p>
    <w:p w14:paraId="1FDF4913" w14:textId="77777777" w:rsidR="00567C88" w:rsidRPr="00677E17" w:rsidRDefault="00567C88" w:rsidP="002103AD">
      <w:pPr>
        <w:jc w:val="both"/>
        <w:rPr>
          <w:lang w:val="pt-BR"/>
        </w:rPr>
      </w:pPr>
    </w:p>
    <w:p w14:paraId="207777E3" w14:textId="0F9D2D49" w:rsidR="00010758" w:rsidRDefault="00101B40" w:rsidP="002103AD">
      <w:pPr>
        <w:pStyle w:val="Heading2"/>
        <w:jc w:val="both"/>
        <w:rPr>
          <w:lang w:val="pt-BR"/>
        </w:rPr>
      </w:pPr>
      <w:r w:rsidRPr="00101B40">
        <w:rPr>
          <w:lang w:val="pt-BR"/>
        </w:rPr>
        <w:t xml:space="preserve">Fatores de </w:t>
      </w:r>
      <w:r w:rsidR="001E2113">
        <w:rPr>
          <w:lang w:val="pt-BR"/>
        </w:rPr>
        <w:t>emissão e remoção</w:t>
      </w:r>
    </w:p>
    <w:p w14:paraId="6E632724" w14:textId="77777777" w:rsidR="00B159F1" w:rsidRPr="00B159F1" w:rsidRDefault="00B159F1" w:rsidP="00B159F1">
      <w:pPr>
        <w:rPr>
          <w:lang w:val="pt-BR"/>
        </w:rPr>
      </w:pPr>
    </w:p>
    <w:p w14:paraId="0471B5E2" w14:textId="77777777" w:rsidR="00567C88" w:rsidRPr="00EE031A" w:rsidRDefault="00567C88" w:rsidP="00567C88">
      <w:pPr>
        <w:jc w:val="both"/>
        <w:rPr>
          <w:lang w:val="pt-BR"/>
        </w:rPr>
      </w:pPr>
      <w:r w:rsidRPr="00EE031A">
        <w:rPr>
          <w:lang w:val="pt-BR"/>
        </w:rPr>
        <w:t xml:space="preserve">Os fatores de emissão das transições de uso da terra são determinados a partir da diferença entre os estoques de carbono </w:t>
      </w:r>
      <w:r>
        <w:rPr>
          <w:lang w:val="pt-BR"/>
        </w:rPr>
        <w:t>d</w:t>
      </w:r>
      <w:r w:rsidRPr="00EE031A">
        <w:rPr>
          <w:lang w:val="pt-BR"/>
        </w:rPr>
        <w:t xml:space="preserve">o uso final da terra subtraídos do estoque de carbono </w:t>
      </w:r>
      <w:r>
        <w:rPr>
          <w:lang w:val="pt-BR"/>
        </w:rPr>
        <w:t xml:space="preserve">presente </w:t>
      </w:r>
      <w:r w:rsidRPr="00EE031A">
        <w:rPr>
          <w:lang w:val="pt-BR"/>
        </w:rPr>
        <w:t>no uso</w:t>
      </w:r>
      <w:r>
        <w:rPr>
          <w:lang w:val="pt-BR"/>
        </w:rPr>
        <w:t xml:space="preserve"> inicial</w:t>
      </w:r>
      <w:r w:rsidRPr="00EE031A">
        <w:rPr>
          <w:lang w:val="pt-BR"/>
        </w:rPr>
        <w:t xml:space="preserve"> da terra. Os estoques de carbono da vegetação pretérita do Estado </w:t>
      </w:r>
      <w:r>
        <w:rPr>
          <w:lang w:val="pt-BR"/>
        </w:rPr>
        <w:t>foram obtidos</w:t>
      </w:r>
      <w:r w:rsidRPr="00EE031A">
        <w:rPr>
          <w:lang w:val="pt-BR"/>
        </w:rPr>
        <w:t xml:space="preserve"> </w:t>
      </w:r>
      <w:r>
        <w:rPr>
          <w:lang w:val="pt-BR"/>
        </w:rPr>
        <w:t>da base de</w:t>
      </w:r>
      <w:r w:rsidRPr="00EE031A">
        <w:rPr>
          <w:lang w:val="pt-BR"/>
        </w:rPr>
        <w:t xml:space="preserve"> dados do III Inventário Nacional de Emissões GEE (tabela 1) para o setor uso da terra, mudança do uso da terra e floresta (sigla em inglês, LULUCF) e incluem os seguintes reservatórios de carbono:</w:t>
      </w:r>
    </w:p>
    <w:p w14:paraId="195B4205" w14:textId="77777777" w:rsidR="00567C88" w:rsidRPr="004533DF" w:rsidRDefault="00567C88" w:rsidP="00567C88">
      <w:pPr>
        <w:pStyle w:val="ListParagraph"/>
        <w:numPr>
          <w:ilvl w:val="1"/>
          <w:numId w:val="5"/>
        </w:numPr>
        <w:jc w:val="both"/>
        <w:rPr>
          <w:lang w:val="pt-BR"/>
        </w:rPr>
      </w:pPr>
      <w:r w:rsidRPr="004533DF">
        <w:rPr>
          <w:lang w:val="pt-BR"/>
        </w:rPr>
        <w:t>Biomassa acima do solo;</w:t>
      </w:r>
    </w:p>
    <w:p w14:paraId="5D008604" w14:textId="77777777" w:rsidR="00567C88" w:rsidRPr="004533DF" w:rsidRDefault="00567C88" w:rsidP="00567C88">
      <w:pPr>
        <w:pStyle w:val="ListParagraph"/>
        <w:numPr>
          <w:ilvl w:val="1"/>
          <w:numId w:val="5"/>
        </w:numPr>
        <w:jc w:val="both"/>
        <w:rPr>
          <w:lang w:val="pt-BR"/>
        </w:rPr>
      </w:pPr>
      <w:r w:rsidRPr="004533DF">
        <w:rPr>
          <w:lang w:val="pt-BR"/>
        </w:rPr>
        <w:t>Biomassa abaixo do solo;</w:t>
      </w:r>
    </w:p>
    <w:p w14:paraId="78223D3D" w14:textId="77777777" w:rsidR="00567C88" w:rsidRPr="004533DF" w:rsidRDefault="00567C88" w:rsidP="00567C88">
      <w:pPr>
        <w:pStyle w:val="ListParagraph"/>
        <w:numPr>
          <w:ilvl w:val="1"/>
          <w:numId w:val="5"/>
        </w:numPr>
        <w:jc w:val="both"/>
        <w:rPr>
          <w:lang w:val="pt-BR"/>
        </w:rPr>
      </w:pPr>
      <w:r w:rsidRPr="004533DF">
        <w:rPr>
          <w:lang w:val="pt-BR"/>
        </w:rPr>
        <w:t>Serrapilheira;</w:t>
      </w:r>
    </w:p>
    <w:p w14:paraId="54943BAE" w14:textId="77777777" w:rsidR="00567C88" w:rsidRPr="004533DF" w:rsidRDefault="00567C88" w:rsidP="00567C88">
      <w:pPr>
        <w:pStyle w:val="ListParagraph"/>
        <w:numPr>
          <w:ilvl w:val="1"/>
          <w:numId w:val="5"/>
        </w:numPr>
        <w:jc w:val="both"/>
        <w:rPr>
          <w:lang w:val="pt-BR"/>
        </w:rPr>
      </w:pPr>
      <w:r w:rsidRPr="004533DF">
        <w:rPr>
          <w:lang w:val="pt-BR"/>
        </w:rPr>
        <w:t xml:space="preserve">Madeira morta. </w:t>
      </w:r>
    </w:p>
    <w:p w14:paraId="55C2590D" w14:textId="77777777" w:rsidR="00567C88" w:rsidRDefault="00567C88" w:rsidP="00567C88">
      <w:pPr>
        <w:jc w:val="both"/>
        <w:rPr>
          <w:lang w:val="pt-BR"/>
        </w:rPr>
      </w:pPr>
    </w:p>
    <w:p w14:paraId="241FA113" w14:textId="4AE7C734" w:rsidR="00567C88" w:rsidRDefault="00567C88" w:rsidP="00567C88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b/>
          <w:bCs/>
          <w:color w:val="000000"/>
          <w:sz w:val="32"/>
          <w:szCs w:val="32"/>
          <w:lang w:val="pt-BR"/>
        </w:rPr>
      </w:pPr>
      <w:r>
        <w:rPr>
          <w:lang w:val="pt-BR"/>
        </w:rPr>
        <w:t xml:space="preserve">Os estoques de carbono para áreas agrícolas foram obtidos do </w:t>
      </w:r>
      <w:r w:rsidR="009B1090" w:rsidRPr="00693006">
        <w:rPr>
          <w:lang w:val="pt-BR"/>
        </w:rPr>
        <w:t>IV I</w:t>
      </w:r>
      <w:r w:rsidR="00022A04">
        <w:rPr>
          <w:lang w:val="pt-BR"/>
        </w:rPr>
        <w:t>nventário Nacional de Emissões e Remoções Antrópicas de Gases de Efeito Estufa</w:t>
      </w:r>
      <w:r w:rsidRPr="000C090C">
        <w:rPr>
          <w:rFonts w:cstheme="minorHAnsi"/>
          <w:color w:val="000000"/>
          <w:lang w:val="pt-BR"/>
        </w:rPr>
        <w:t>, R</w:t>
      </w:r>
      <w:r w:rsidR="00A746A9">
        <w:rPr>
          <w:rFonts w:cstheme="minorHAnsi"/>
          <w:color w:val="000000"/>
          <w:lang w:val="pt-BR"/>
        </w:rPr>
        <w:t>elatório de Referência: Setor de Uso da Terra, Mudança do Uso da Terra e Florestas (</w:t>
      </w:r>
      <w:r w:rsidRPr="000C090C">
        <w:rPr>
          <w:rFonts w:cstheme="minorHAnsi"/>
          <w:color w:val="000000"/>
          <w:lang w:val="pt-BR"/>
        </w:rPr>
        <w:t xml:space="preserve">submetido </w:t>
      </w:r>
      <w:r w:rsidR="00A746A9">
        <w:rPr>
          <w:rFonts w:cstheme="minorHAnsi"/>
          <w:color w:val="000000"/>
          <w:lang w:val="pt-BR"/>
        </w:rPr>
        <w:t>par</w:t>
      </w:r>
      <w:r w:rsidRPr="000C090C">
        <w:rPr>
          <w:rFonts w:cstheme="minorHAnsi"/>
          <w:color w:val="000000"/>
          <w:lang w:val="pt-BR"/>
        </w:rPr>
        <w:t>a consulta pública em maio de 2020 e aprovado em dezembro de 2020</w:t>
      </w:r>
      <w:r w:rsidR="00A746A9">
        <w:rPr>
          <w:rFonts w:cstheme="minorHAnsi"/>
          <w:color w:val="000000"/>
          <w:lang w:val="pt-BR"/>
        </w:rPr>
        <w:t>)</w:t>
      </w:r>
      <w:r w:rsidRPr="000C090C">
        <w:rPr>
          <w:rFonts w:cstheme="minorHAnsi"/>
          <w:color w:val="000000"/>
          <w:lang w:val="pt-BR"/>
        </w:rPr>
        <w:t>.</w:t>
      </w:r>
      <w:r>
        <w:rPr>
          <w:rFonts w:ascii="Trebuchet MS" w:hAnsi="Trebuchet MS" w:cs="Trebuchet MS"/>
          <w:b/>
          <w:bCs/>
          <w:color w:val="000000"/>
          <w:sz w:val="32"/>
          <w:szCs w:val="32"/>
          <w:lang w:val="pt-BR"/>
        </w:rPr>
        <w:t xml:space="preserve"> </w:t>
      </w:r>
    </w:p>
    <w:p w14:paraId="189F8D59" w14:textId="77777777" w:rsidR="00567C88" w:rsidRDefault="00567C88" w:rsidP="00567C88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b/>
          <w:bCs/>
          <w:color w:val="000000"/>
          <w:sz w:val="32"/>
          <w:szCs w:val="32"/>
          <w:lang w:val="pt-BR"/>
        </w:rPr>
      </w:pPr>
    </w:p>
    <w:p w14:paraId="7B72CFF9" w14:textId="77777777" w:rsidR="002559B8" w:rsidRDefault="002559B8" w:rsidP="002103AD">
      <w:pPr>
        <w:jc w:val="both"/>
        <w:rPr>
          <w:b/>
          <w:i/>
          <w:color w:val="FF0000"/>
          <w:lang w:val="pt-BR"/>
        </w:rPr>
        <w:sectPr w:rsidR="002559B8">
          <w:headerReference w:type="default" r:id="rId15"/>
          <w:footerReference w:type="default" r:id="rId16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1B897C8F" w14:textId="2F101F6C" w:rsidR="002559B8" w:rsidRPr="00494F14" w:rsidRDefault="002559B8" w:rsidP="002103AD">
      <w:pPr>
        <w:pStyle w:val="Caption"/>
        <w:jc w:val="both"/>
        <w:rPr>
          <w:lang w:val="pt-BR"/>
        </w:rPr>
      </w:pPr>
      <w:bookmarkStart w:id="3" w:name="_Ref26705799"/>
      <w:r w:rsidRPr="00677E17">
        <w:rPr>
          <w:lang w:val="pt-BR"/>
        </w:rPr>
        <w:lastRenderedPageBreak/>
        <w:t>Tab</w:t>
      </w:r>
      <w:r w:rsidR="00494F14" w:rsidRPr="00677E17">
        <w:rPr>
          <w:lang w:val="pt-BR"/>
        </w:rPr>
        <w:t>ela</w:t>
      </w:r>
      <w:r w:rsidRPr="00677E17">
        <w:rPr>
          <w:lang w:val="pt-BR"/>
        </w:rPr>
        <w:t xml:space="preserve"> </w:t>
      </w:r>
      <w:r w:rsidRPr="00677E17">
        <w:rPr>
          <w:noProof/>
          <w:lang w:val="pt-BR"/>
        </w:rPr>
        <w:t>1</w:t>
      </w:r>
      <w:bookmarkEnd w:id="3"/>
      <w:r w:rsidRPr="00677E17">
        <w:rPr>
          <w:lang w:val="pt-BR"/>
        </w:rPr>
        <w:t xml:space="preserve">. </w:t>
      </w:r>
      <w:r w:rsidR="00494F14" w:rsidRPr="00494F14">
        <w:rPr>
          <w:lang w:val="pt-BR"/>
        </w:rPr>
        <w:t>Estoque de carbono utilizado nas estimativas de emissões</w:t>
      </w:r>
      <w:r w:rsidR="00494F14">
        <w:rPr>
          <w:lang w:val="pt-BR"/>
        </w:rPr>
        <w:t xml:space="preserve"> nas transições de uso da terra.</w:t>
      </w:r>
    </w:p>
    <w:tbl>
      <w:tblPr>
        <w:tblStyle w:val="ListTable3-Accent1"/>
        <w:tblW w:w="12505" w:type="dxa"/>
        <w:tblLook w:val="04A0" w:firstRow="1" w:lastRow="0" w:firstColumn="1" w:lastColumn="0" w:noHBand="0" w:noVBand="1"/>
      </w:tblPr>
      <w:tblGrid>
        <w:gridCol w:w="1826"/>
        <w:gridCol w:w="1844"/>
        <w:gridCol w:w="3868"/>
        <w:gridCol w:w="1498"/>
        <w:gridCol w:w="992"/>
        <w:gridCol w:w="2477"/>
      </w:tblGrid>
      <w:tr w:rsidR="002559B8" w:rsidRPr="00DC5EE6" w14:paraId="5056DA5B" w14:textId="77777777" w:rsidTr="00641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26" w:type="dxa"/>
            <w:vAlign w:val="center"/>
          </w:tcPr>
          <w:p w14:paraId="047C46C1" w14:textId="6AF2F96E" w:rsidR="002559B8" w:rsidRPr="00DC5EE6" w:rsidRDefault="002559B8" w:rsidP="002103AD">
            <w:pPr>
              <w:jc w:val="both"/>
              <w:rPr>
                <w:rFonts w:ascii="Calibri" w:eastAsia="Times New Roman" w:hAnsi="Calibri" w:cs="Times New Roman"/>
                <w:lang w:val="pt-BR"/>
              </w:rPr>
            </w:pPr>
            <w:r w:rsidRPr="00DC5EE6">
              <w:rPr>
                <w:rFonts w:ascii="Calibri" w:eastAsia="Times New Roman" w:hAnsi="Calibri" w:cs="Times New Roman"/>
                <w:lang w:val="pt-BR"/>
              </w:rPr>
              <w:t xml:space="preserve">Uso </w:t>
            </w:r>
            <w:proofErr w:type="gramStart"/>
            <w:r w:rsidRPr="00DC5EE6">
              <w:rPr>
                <w:rFonts w:ascii="Calibri" w:eastAsia="Times New Roman" w:hAnsi="Calibri" w:cs="Times New Roman"/>
                <w:lang w:val="pt-BR"/>
              </w:rPr>
              <w:t xml:space="preserve">do </w:t>
            </w:r>
            <w:r w:rsidR="00494F14">
              <w:rPr>
                <w:rFonts w:ascii="Calibri" w:eastAsia="Times New Roman" w:hAnsi="Calibri" w:cs="Times New Roman"/>
                <w:lang w:val="pt-BR"/>
              </w:rPr>
              <w:t>terra</w:t>
            </w:r>
            <w:proofErr w:type="gramEnd"/>
          </w:p>
        </w:tc>
        <w:tc>
          <w:tcPr>
            <w:tcW w:w="1844" w:type="dxa"/>
            <w:noWrap/>
            <w:vAlign w:val="center"/>
          </w:tcPr>
          <w:p w14:paraId="2EB3148F" w14:textId="77777777" w:rsidR="002559B8" w:rsidRPr="00DC5EE6" w:rsidRDefault="002559B8" w:rsidP="002103A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EE6">
              <w:rPr>
                <w:rFonts w:ascii="Calibri" w:eastAsia="Times New Roman" w:hAnsi="Calibri" w:cs="Times New Roman"/>
              </w:rPr>
              <w:t>Tipo</w:t>
            </w:r>
          </w:p>
        </w:tc>
        <w:tc>
          <w:tcPr>
            <w:tcW w:w="3868" w:type="dxa"/>
            <w:vAlign w:val="center"/>
          </w:tcPr>
          <w:p w14:paraId="27287F80" w14:textId="77777777" w:rsidR="002559B8" w:rsidRPr="00DC5EE6" w:rsidRDefault="002559B8" w:rsidP="002103A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</w:rPr>
            </w:pPr>
            <w:proofErr w:type="spellStart"/>
            <w:r w:rsidRPr="00DC5EE6">
              <w:rPr>
                <w:rFonts w:ascii="Calibri" w:eastAsia="Times New Roman" w:hAnsi="Calibri" w:cs="Times New Roman"/>
              </w:rPr>
              <w:t>Fitofisionomia</w:t>
            </w:r>
            <w:proofErr w:type="spellEnd"/>
          </w:p>
        </w:tc>
        <w:tc>
          <w:tcPr>
            <w:tcW w:w="1498" w:type="dxa"/>
            <w:vAlign w:val="center"/>
          </w:tcPr>
          <w:p w14:paraId="57B02B43" w14:textId="77777777" w:rsidR="002559B8" w:rsidRPr="00DC5EE6" w:rsidRDefault="002559B8" w:rsidP="002103A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</w:rPr>
            </w:pPr>
            <w:r w:rsidRPr="00DC5EE6">
              <w:rPr>
                <w:rFonts w:ascii="Calibri" w:eastAsia="Times New Roman" w:hAnsi="Calibri" w:cs="Times New Roman"/>
              </w:rPr>
              <w:t>Código</w:t>
            </w:r>
          </w:p>
        </w:tc>
        <w:tc>
          <w:tcPr>
            <w:tcW w:w="992" w:type="dxa"/>
            <w:vAlign w:val="center"/>
          </w:tcPr>
          <w:p w14:paraId="59C8654A" w14:textId="03A8D514" w:rsidR="002559B8" w:rsidRPr="00DC5EE6" w:rsidRDefault="002559B8" w:rsidP="000115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s-ES"/>
              </w:rPr>
            </w:pPr>
            <w:r w:rsidRPr="00DC5EE6">
              <w:rPr>
                <w:rFonts w:ascii="Calibri" w:eastAsia="Times New Roman" w:hAnsi="Calibri" w:cs="Times New Roman"/>
                <w:lang w:val="es-ES"/>
              </w:rPr>
              <w:t>Estoque de Carbono (</w:t>
            </w:r>
            <w:proofErr w:type="spellStart"/>
            <w:r w:rsidRPr="00DC5EE6">
              <w:rPr>
                <w:rFonts w:ascii="Calibri" w:eastAsia="Times New Roman" w:hAnsi="Calibri" w:cs="Times New Roman"/>
                <w:lang w:val="es-ES"/>
              </w:rPr>
              <w:t>tC</w:t>
            </w:r>
            <w:proofErr w:type="spellEnd"/>
            <w:r w:rsidRPr="00DC5EE6">
              <w:rPr>
                <w:rFonts w:ascii="Calibri" w:eastAsia="Times New Roman" w:hAnsi="Calibri" w:cs="Times New Roman"/>
                <w:lang w:val="es-ES"/>
              </w:rPr>
              <w:t>/ha)</w:t>
            </w:r>
          </w:p>
        </w:tc>
        <w:tc>
          <w:tcPr>
            <w:tcW w:w="2477" w:type="dxa"/>
            <w:vAlign w:val="center"/>
          </w:tcPr>
          <w:p w14:paraId="77E2BC18" w14:textId="77777777" w:rsidR="002559B8" w:rsidRPr="00DC5EE6" w:rsidRDefault="002559B8" w:rsidP="002103A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</w:rPr>
            </w:pPr>
            <w:r w:rsidRPr="00DC5EE6">
              <w:rPr>
                <w:rFonts w:ascii="Calibri" w:eastAsia="Times New Roman" w:hAnsi="Calibri" w:cs="Times New Roman"/>
              </w:rPr>
              <w:t>Fonte</w:t>
            </w:r>
          </w:p>
        </w:tc>
      </w:tr>
      <w:tr w:rsidR="002559B8" w:rsidRPr="007C5F0C" w14:paraId="223D0AEB" w14:textId="77777777" w:rsidTr="00641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 w:val="restart"/>
            <w:vAlign w:val="center"/>
          </w:tcPr>
          <w:p w14:paraId="2F03B5CB" w14:textId="77777777" w:rsidR="002559B8" w:rsidRPr="00DC5EE6" w:rsidRDefault="002559B8" w:rsidP="002103AD">
            <w:pPr>
              <w:jc w:val="both"/>
              <w:rPr>
                <w:rFonts w:ascii="Calibri" w:hAnsi="Calibri" w:cs="Calibri"/>
                <w:b w:val="0"/>
                <w:color w:val="000000"/>
              </w:rPr>
            </w:pPr>
            <w:r w:rsidRPr="00DC5EE6">
              <w:rPr>
                <w:rFonts w:ascii="Calibri" w:hAnsi="Calibri" w:cs="Calibri"/>
                <w:b w:val="0"/>
                <w:color w:val="000000"/>
              </w:rPr>
              <w:t>Florestas</w:t>
            </w:r>
          </w:p>
        </w:tc>
        <w:tc>
          <w:tcPr>
            <w:tcW w:w="1844" w:type="dxa"/>
            <w:vMerge w:val="restart"/>
            <w:noWrap/>
            <w:vAlign w:val="center"/>
          </w:tcPr>
          <w:p w14:paraId="3C61F354" w14:textId="77777777" w:rsidR="002559B8" w:rsidRPr="00801FF0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</w:rPr>
            </w:pPr>
            <w:r w:rsidRPr="00801FF0">
              <w:rPr>
                <w:rFonts w:ascii="Calibri" w:hAnsi="Calibri" w:cs="Calibri"/>
                <w:color w:val="000000"/>
              </w:rPr>
              <w:t xml:space="preserve">Mata </w:t>
            </w:r>
            <w:proofErr w:type="spellStart"/>
            <w:r w:rsidRPr="00801FF0">
              <w:rPr>
                <w:rFonts w:ascii="Calibri" w:hAnsi="Calibri" w:cs="Calibri"/>
                <w:color w:val="000000"/>
              </w:rPr>
              <w:t>Atlântica</w:t>
            </w:r>
            <w:proofErr w:type="spellEnd"/>
          </w:p>
        </w:tc>
        <w:tc>
          <w:tcPr>
            <w:tcW w:w="3868" w:type="dxa"/>
            <w:noWrap/>
            <w:vAlign w:val="center"/>
          </w:tcPr>
          <w:p w14:paraId="14C0BB67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Floresta </w:t>
            </w:r>
            <w:proofErr w:type="spellStart"/>
            <w:r>
              <w:rPr>
                <w:rFonts w:ascii="Calibri" w:hAnsi="Calibri" w:cs="Calibri"/>
                <w:color w:val="000000"/>
              </w:rPr>
              <w:t>Estacional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Decidual Montana</w:t>
            </w:r>
          </w:p>
        </w:tc>
        <w:tc>
          <w:tcPr>
            <w:tcW w:w="1498" w:type="dxa"/>
            <w:noWrap/>
            <w:vAlign w:val="center"/>
          </w:tcPr>
          <w:p w14:paraId="40E228BF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Cm</w:t>
            </w:r>
          </w:p>
        </w:tc>
        <w:tc>
          <w:tcPr>
            <w:tcW w:w="992" w:type="dxa"/>
            <w:noWrap/>
            <w:vAlign w:val="bottom"/>
          </w:tcPr>
          <w:p w14:paraId="3F42086B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106.41</w:t>
            </w:r>
          </w:p>
        </w:tc>
        <w:tc>
          <w:tcPr>
            <w:tcW w:w="2477" w:type="dxa"/>
          </w:tcPr>
          <w:p w14:paraId="6349D353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177E0BB7" w14:textId="77777777" w:rsidTr="00641E09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1AD8A533" w14:textId="77777777" w:rsidR="002559B8" w:rsidRPr="003A50AE" w:rsidRDefault="002559B8" w:rsidP="002103AD">
            <w:pPr>
              <w:jc w:val="both"/>
              <w:rPr>
                <w:rFonts w:ascii="Calibri" w:eastAsia="Times New Roman" w:hAnsi="Calibri" w:cs="Times New Roman"/>
                <w:b w:val="0"/>
                <w:lang w:val="pt-BR"/>
              </w:rPr>
            </w:pPr>
          </w:p>
        </w:tc>
        <w:tc>
          <w:tcPr>
            <w:tcW w:w="1844" w:type="dxa"/>
            <w:vMerge/>
            <w:vAlign w:val="center"/>
          </w:tcPr>
          <w:p w14:paraId="0446687A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lang w:val="pt-BR"/>
              </w:rPr>
            </w:pPr>
          </w:p>
        </w:tc>
        <w:tc>
          <w:tcPr>
            <w:tcW w:w="3868" w:type="dxa"/>
            <w:noWrap/>
            <w:vAlign w:val="center"/>
          </w:tcPr>
          <w:p w14:paraId="1C22C6B9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Floresta </w:t>
            </w:r>
            <w:proofErr w:type="spellStart"/>
            <w:r>
              <w:rPr>
                <w:rFonts w:ascii="Calibri" w:hAnsi="Calibri" w:cs="Calibri"/>
                <w:color w:val="000000"/>
              </w:rPr>
              <w:t>Estacional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Decidual </w:t>
            </w:r>
            <w:proofErr w:type="spellStart"/>
            <w:r>
              <w:rPr>
                <w:rFonts w:ascii="Calibri" w:hAnsi="Calibri" w:cs="Calibri"/>
                <w:color w:val="000000"/>
              </w:rPr>
              <w:t>Submontana</w:t>
            </w:r>
            <w:proofErr w:type="spellEnd"/>
          </w:p>
        </w:tc>
        <w:tc>
          <w:tcPr>
            <w:tcW w:w="1498" w:type="dxa"/>
            <w:noWrap/>
            <w:vAlign w:val="center"/>
          </w:tcPr>
          <w:p w14:paraId="7D2E55BC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Cs</w:t>
            </w:r>
          </w:p>
        </w:tc>
        <w:tc>
          <w:tcPr>
            <w:tcW w:w="992" w:type="dxa"/>
            <w:noWrap/>
            <w:vAlign w:val="bottom"/>
          </w:tcPr>
          <w:p w14:paraId="759C05C7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106.41</w:t>
            </w:r>
          </w:p>
        </w:tc>
        <w:tc>
          <w:tcPr>
            <w:tcW w:w="2477" w:type="dxa"/>
          </w:tcPr>
          <w:p w14:paraId="7D96A67D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508CF428" w14:textId="77777777" w:rsidTr="00641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59941A29" w14:textId="77777777" w:rsidR="002559B8" w:rsidRPr="003A50AE" w:rsidRDefault="002559B8" w:rsidP="002103AD">
            <w:pPr>
              <w:jc w:val="both"/>
              <w:rPr>
                <w:rFonts w:ascii="Calibri" w:eastAsia="Times New Roman" w:hAnsi="Calibri" w:cs="Times New Roman"/>
                <w:b w:val="0"/>
                <w:lang w:val="pt-BR"/>
              </w:rPr>
            </w:pPr>
          </w:p>
        </w:tc>
        <w:tc>
          <w:tcPr>
            <w:tcW w:w="1844" w:type="dxa"/>
            <w:vMerge/>
            <w:vAlign w:val="center"/>
          </w:tcPr>
          <w:p w14:paraId="21BC76F4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lang w:val="pt-BR"/>
              </w:rPr>
            </w:pPr>
          </w:p>
        </w:tc>
        <w:tc>
          <w:tcPr>
            <w:tcW w:w="3868" w:type="dxa"/>
            <w:noWrap/>
            <w:vAlign w:val="center"/>
          </w:tcPr>
          <w:p w14:paraId="562C433C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Floresta </w:t>
            </w:r>
            <w:proofErr w:type="spellStart"/>
            <w:r>
              <w:rPr>
                <w:rFonts w:ascii="Calibri" w:hAnsi="Calibri" w:cs="Calibri"/>
                <w:color w:val="000000"/>
              </w:rPr>
              <w:t>Ombrófila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Densa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Aluvial</w:t>
            </w:r>
            <w:proofErr w:type="spellEnd"/>
          </w:p>
        </w:tc>
        <w:tc>
          <w:tcPr>
            <w:tcW w:w="1498" w:type="dxa"/>
            <w:noWrap/>
            <w:vAlign w:val="center"/>
          </w:tcPr>
          <w:p w14:paraId="7B1C3168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</w:t>
            </w:r>
          </w:p>
        </w:tc>
        <w:tc>
          <w:tcPr>
            <w:tcW w:w="992" w:type="dxa"/>
            <w:noWrap/>
            <w:vAlign w:val="bottom"/>
          </w:tcPr>
          <w:p w14:paraId="03A0501B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173.83</w:t>
            </w:r>
          </w:p>
        </w:tc>
        <w:tc>
          <w:tcPr>
            <w:tcW w:w="2477" w:type="dxa"/>
          </w:tcPr>
          <w:p w14:paraId="382DCFE2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1407E7B8" w14:textId="77777777" w:rsidTr="00641E09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4A7F8151" w14:textId="77777777" w:rsidR="002559B8" w:rsidRPr="003A50AE" w:rsidRDefault="002559B8" w:rsidP="002103AD">
            <w:pPr>
              <w:jc w:val="both"/>
              <w:rPr>
                <w:rFonts w:ascii="Calibri" w:eastAsia="Times New Roman" w:hAnsi="Calibri" w:cs="Times New Roman"/>
                <w:b w:val="0"/>
                <w:lang w:val="pt-BR"/>
              </w:rPr>
            </w:pPr>
          </w:p>
        </w:tc>
        <w:tc>
          <w:tcPr>
            <w:tcW w:w="1844" w:type="dxa"/>
            <w:vMerge/>
            <w:vAlign w:val="center"/>
          </w:tcPr>
          <w:p w14:paraId="1890D1A7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lang w:val="pt-BR"/>
              </w:rPr>
            </w:pPr>
          </w:p>
        </w:tc>
        <w:tc>
          <w:tcPr>
            <w:tcW w:w="3868" w:type="dxa"/>
            <w:noWrap/>
            <w:vAlign w:val="center"/>
          </w:tcPr>
          <w:p w14:paraId="06C7A340" w14:textId="77777777" w:rsidR="002559B8" w:rsidRPr="00576741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t-BR"/>
              </w:rPr>
            </w:pPr>
            <w:r w:rsidRPr="00801FF0">
              <w:rPr>
                <w:rFonts w:ascii="Calibri" w:hAnsi="Calibri" w:cs="Calibri"/>
                <w:color w:val="000000"/>
                <w:lang w:val="pt-BR"/>
              </w:rPr>
              <w:t>Floresta Ombrófila Densa de Terras Baixas</w:t>
            </w:r>
          </w:p>
        </w:tc>
        <w:tc>
          <w:tcPr>
            <w:tcW w:w="1498" w:type="dxa"/>
            <w:noWrap/>
            <w:vAlign w:val="center"/>
          </w:tcPr>
          <w:p w14:paraId="33CE8ED7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Db</w:t>
            </w:r>
          </w:p>
        </w:tc>
        <w:tc>
          <w:tcPr>
            <w:tcW w:w="992" w:type="dxa"/>
            <w:noWrap/>
            <w:vAlign w:val="bottom"/>
          </w:tcPr>
          <w:p w14:paraId="164A979D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128.42</w:t>
            </w:r>
          </w:p>
        </w:tc>
        <w:tc>
          <w:tcPr>
            <w:tcW w:w="2477" w:type="dxa"/>
          </w:tcPr>
          <w:p w14:paraId="46A71CC7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6A03E633" w14:textId="77777777" w:rsidTr="00641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0E514721" w14:textId="77777777" w:rsidR="002559B8" w:rsidRPr="003A50AE" w:rsidRDefault="002559B8" w:rsidP="002103AD">
            <w:pPr>
              <w:jc w:val="both"/>
              <w:rPr>
                <w:rFonts w:ascii="Calibri" w:eastAsia="Times New Roman" w:hAnsi="Calibri" w:cs="Times New Roman"/>
                <w:b w:val="0"/>
                <w:lang w:val="pt-BR"/>
              </w:rPr>
            </w:pPr>
          </w:p>
        </w:tc>
        <w:tc>
          <w:tcPr>
            <w:tcW w:w="1844" w:type="dxa"/>
            <w:vMerge/>
            <w:noWrap/>
            <w:vAlign w:val="center"/>
          </w:tcPr>
          <w:p w14:paraId="5F2262D3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lang w:val="pt-BR"/>
              </w:rPr>
            </w:pPr>
          </w:p>
        </w:tc>
        <w:tc>
          <w:tcPr>
            <w:tcW w:w="3868" w:type="dxa"/>
            <w:noWrap/>
            <w:vAlign w:val="center"/>
          </w:tcPr>
          <w:p w14:paraId="45362E71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Floresta </w:t>
            </w:r>
            <w:proofErr w:type="spellStart"/>
            <w:r>
              <w:rPr>
                <w:rFonts w:ascii="Calibri" w:hAnsi="Calibri" w:cs="Calibri"/>
                <w:color w:val="000000"/>
              </w:rPr>
              <w:t>Ombrófila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Densa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Montana</w:t>
            </w:r>
          </w:p>
        </w:tc>
        <w:tc>
          <w:tcPr>
            <w:tcW w:w="1498" w:type="dxa"/>
            <w:noWrap/>
            <w:vAlign w:val="center"/>
          </w:tcPr>
          <w:p w14:paraId="4AA06D35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Dm</w:t>
            </w:r>
          </w:p>
        </w:tc>
        <w:tc>
          <w:tcPr>
            <w:tcW w:w="992" w:type="dxa"/>
            <w:noWrap/>
            <w:vAlign w:val="bottom"/>
          </w:tcPr>
          <w:p w14:paraId="078A6106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177.75</w:t>
            </w:r>
          </w:p>
        </w:tc>
        <w:tc>
          <w:tcPr>
            <w:tcW w:w="2477" w:type="dxa"/>
          </w:tcPr>
          <w:p w14:paraId="62B8E3B1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04662D34" w14:textId="77777777" w:rsidTr="00641E09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32A317C2" w14:textId="77777777" w:rsidR="002559B8" w:rsidRPr="003A50AE" w:rsidRDefault="002559B8" w:rsidP="002103AD">
            <w:pPr>
              <w:jc w:val="both"/>
              <w:rPr>
                <w:rFonts w:ascii="Calibri" w:eastAsia="Times New Roman" w:hAnsi="Calibri" w:cs="Times New Roman"/>
                <w:b w:val="0"/>
                <w:lang w:val="pt-BR"/>
              </w:rPr>
            </w:pPr>
          </w:p>
        </w:tc>
        <w:tc>
          <w:tcPr>
            <w:tcW w:w="1844" w:type="dxa"/>
            <w:vMerge/>
            <w:noWrap/>
            <w:vAlign w:val="center"/>
          </w:tcPr>
          <w:p w14:paraId="35D3302A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lang w:val="pt-BR"/>
              </w:rPr>
            </w:pPr>
          </w:p>
        </w:tc>
        <w:tc>
          <w:tcPr>
            <w:tcW w:w="3868" w:type="dxa"/>
            <w:noWrap/>
            <w:vAlign w:val="center"/>
          </w:tcPr>
          <w:p w14:paraId="01EB8810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Floresta Ombrófila Densa Alto-Montana</w:t>
            </w:r>
          </w:p>
        </w:tc>
        <w:tc>
          <w:tcPr>
            <w:tcW w:w="1498" w:type="dxa"/>
            <w:noWrap/>
            <w:vAlign w:val="center"/>
          </w:tcPr>
          <w:p w14:paraId="43CF8842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</w:t>
            </w:r>
          </w:p>
        </w:tc>
        <w:tc>
          <w:tcPr>
            <w:tcW w:w="992" w:type="dxa"/>
            <w:noWrap/>
            <w:vAlign w:val="bottom"/>
          </w:tcPr>
          <w:p w14:paraId="0BAB1989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105.53</w:t>
            </w:r>
          </w:p>
        </w:tc>
        <w:tc>
          <w:tcPr>
            <w:tcW w:w="2477" w:type="dxa"/>
          </w:tcPr>
          <w:p w14:paraId="3DFF40CF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46C3C9E5" w14:textId="77777777" w:rsidTr="00641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5EE0DBDC" w14:textId="77777777" w:rsidR="002559B8" w:rsidRPr="003A50AE" w:rsidRDefault="002559B8" w:rsidP="002103AD">
            <w:pPr>
              <w:jc w:val="both"/>
              <w:rPr>
                <w:rFonts w:ascii="Calibri" w:eastAsia="Times New Roman" w:hAnsi="Calibri" w:cs="Times New Roman"/>
                <w:b w:val="0"/>
                <w:lang w:val="pt-BR"/>
              </w:rPr>
            </w:pPr>
          </w:p>
        </w:tc>
        <w:tc>
          <w:tcPr>
            <w:tcW w:w="1844" w:type="dxa"/>
            <w:vMerge/>
            <w:noWrap/>
            <w:vAlign w:val="center"/>
          </w:tcPr>
          <w:p w14:paraId="735F7B0F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lang w:val="pt-BR"/>
              </w:rPr>
            </w:pPr>
          </w:p>
        </w:tc>
        <w:tc>
          <w:tcPr>
            <w:tcW w:w="3868" w:type="dxa"/>
            <w:noWrap/>
            <w:vAlign w:val="center"/>
          </w:tcPr>
          <w:p w14:paraId="3100DD1F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Floresta </w:t>
            </w:r>
            <w:proofErr w:type="spellStart"/>
            <w:r>
              <w:rPr>
                <w:rFonts w:ascii="Calibri" w:hAnsi="Calibri" w:cs="Calibri"/>
                <w:color w:val="000000"/>
              </w:rPr>
              <w:t>Ombrófila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Densa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Submontana</w:t>
            </w:r>
            <w:proofErr w:type="spellEnd"/>
          </w:p>
        </w:tc>
        <w:tc>
          <w:tcPr>
            <w:tcW w:w="1498" w:type="dxa"/>
            <w:noWrap/>
            <w:vAlign w:val="center"/>
          </w:tcPr>
          <w:p w14:paraId="092FACAE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Ds</w:t>
            </w:r>
          </w:p>
        </w:tc>
        <w:tc>
          <w:tcPr>
            <w:tcW w:w="992" w:type="dxa"/>
            <w:noWrap/>
            <w:vAlign w:val="bottom"/>
          </w:tcPr>
          <w:p w14:paraId="05004E74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151.42</w:t>
            </w:r>
          </w:p>
        </w:tc>
        <w:tc>
          <w:tcPr>
            <w:tcW w:w="2477" w:type="dxa"/>
          </w:tcPr>
          <w:p w14:paraId="77CE774D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4C5D4BB6" w14:textId="77777777" w:rsidTr="00641E09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60253905" w14:textId="77777777" w:rsidR="002559B8" w:rsidRPr="003A50AE" w:rsidRDefault="002559B8" w:rsidP="002103AD">
            <w:pPr>
              <w:jc w:val="both"/>
              <w:rPr>
                <w:rFonts w:ascii="Calibri" w:eastAsia="Times New Roman" w:hAnsi="Calibri" w:cs="Times New Roman"/>
                <w:b w:val="0"/>
                <w:lang w:val="pt-BR"/>
              </w:rPr>
            </w:pPr>
          </w:p>
        </w:tc>
        <w:tc>
          <w:tcPr>
            <w:tcW w:w="1844" w:type="dxa"/>
            <w:vMerge/>
            <w:noWrap/>
            <w:vAlign w:val="center"/>
          </w:tcPr>
          <w:p w14:paraId="0F096510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lang w:val="pt-BR"/>
              </w:rPr>
            </w:pPr>
          </w:p>
        </w:tc>
        <w:tc>
          <w:tcPr>
            <w:tcW w:w="3868" w:type="dxa"/>
            <w:noWrap/>
            <w:vAlign w:val="center"/>
          </w:tcPr>
          <w:p w14:paraId="7676CE08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Floresta </w:t>
            </w:r>
            <w:proofErr w:type="spellStart"/>
            <w:r>
              <w:rPr>
                <w:rFonts w:ascii="Calibri" w:hAnsi="Calibri" w:cs="Calibri"/>
                <w:color w:val="000000"/>
              </w:rPr>
              <w:t>Estacional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Semidecidual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Aluvial</w:t>
            </w:r>
            <w:proofErr w:type="spellEnd"/>
          </w:p>
        </w:tc>
        <w:tc>
          <w:tcPr>
            <w:tcW w:w="1498" w:type="dxa"/>
            <w:noWrap/>
            <w:vAlign w:val="center"/>
          </w:tcPr>
          <w:p w14:paraId="46CB0417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Fa</w:t>
            </w:r>
          </w:p>
        </w:tc>
        <w:tc>
          <w:tcPr>
            <w:tcW w:w="992" w:type="dxa"/>
            <w:noWrap/>
            <w:vAlign w:val="bottom"/>
          </w:tcPr>
          <w:p w14:paraId="7568B181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75.9</w:t>
            </w:r>
          </w:p>
        </w:tc>
        <w:tc>
          <w:tcPr>
            <w:tcW w:w="2477" w:type="dxa"/>
          </w:tcPr>
          <w:p w14:paraId="4C6EA92F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5FDEA9C2" w14:textId="77777777" w:rsidTr="00641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322E6494" w14:textId="77777777" w:rsidR="002559B8" w:rsidRPr="003A50AE" w:rsidRDefault="002559B8" w:rsidP="002103AD">
            <w:pPr>
              <w:jc w:val="both"/>
              <w:rPr>
                <w:rFonts w:ascii="Calibri" w:eastAsia="Times New Roman" w:hAnsi="Calibri" w:cs="Times New Roman"/>
                <w:b w:val="0"/>
                <w:lang w:val="pt-BR"/>
              </w:rPr>
            </w:pPr>
          </w:p>
        </w:tc>
        <w:tc>
          <w:tcPr>
            <w:tcW w:w="1844" w:type="dxa"/>
            <w:vMerge/>
            <w:vAlign w:val="center"/>
          </w:tcPr>
          <w:p w14:paraId="38D544FA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lang w:val="pt-BR"/>
              </w:rPr>
            </w:pPr>
          </w:p>
        </w:tc>
        <w:tc>
          <w:tcPr>
            <w:tcW w:w="3868" w:type="dxa"/>
            <w:noWrap/>
            <w:vAlign w:val="center"/>
          </w:tcPr>
          <w:p w14:paraId="68C40209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Floresta </w:t>
            </w:r>
            <w:proofErr w:type="spellStart"/>
            <w:r>
              <w:rPr>
                <w:rFonts w:ascii="Calibri" w:hAnsi="Calibri" w:cs="Calibri"/>
                <w:color w:val="000000"/>
              </w:rPr>
              <w:t>Estacional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Semidecidual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Montana</w:t>
            </w:r>
          </w:p>
        </w:tc>
        <w:tc>
          <w:tcPr>
            <w:tcW w:w="1498" w:type="dxa"/>
            <w:noWrap/>
            <w:vAlign w:val="center"/>
          </w:tcPr>
          <w:p w14:paraId="428EFD98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Fm</w:t>
            </w:r>
          </w:p>
        </w:tc>
        <w:tc>
          <w:tcPr>
            <w:tcW w:w="992" w:type="dxa"/>
            <w:noWrap/>
            <w:vAlign w:val="bottom"/>
          </w:tcPr>
          <w:p w14:paraId="02A38065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106.88</w:t>
            </w:r>
          </w:p>
        </w:tc>
        <w:tc>
          <w:tcPr>
            <w:tcW w:w="2477" w:type="dxa"/>
          </w:tcPr>
          <w:p w14:paraId="558163CE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74E433A9" w14:textId="77777777" w:rsidTr="00641E09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7C2352BC" w14:textId="77777777" w:rsidR="002559B8" w:rsidRPr="003A50AE" w:rsidRDefault="002559B8" w:rsidP="002103AD">
            <w:pPr>
              <w:jc w:val="both"/>
              <w:rPr>
                <w:rFonts w:ascii="Calibri" w:eastAsia="Times New Roman" w:hAnsi="Calibri" w:cs="Times New Roman"/>
                <w:b w:val="0"/>
                <w:lang w:val="pt-BR"/>
              </w:rPr>
            </w:pPr>
          </w:p>
        </w:tc>
        <w:tc>
          <w:tcPr>
            <w:tcW w:w="1844" w:type="dxa"/>
            <w:vMerge/>
            <w:vAlign w:val="center"/>
          </w:tcPr>
          <w:p w14:paraId="7229FFA3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lang w:val="pt-BR"/>
              </w:rPr>
            </w:pPr>
          </w:p>
        </w:tc>
        <w:tc>
          <w:tcPr>
            <w:tcW w:w="3868" w:type="dxa"/>
            <w:noWrap/>
            <w:vAlign w:val="center"/>
          </w:tcPr>
          <w:p w14:paraId="50410E78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Floresta </w:t>
            </w:r>
            <w:proofErr w:type="spellStart"/>
            <w:r>
              <w:rPr>
                <w:rFonts w:ascii="Calibri" w:hAnsi="Calibri" w:cs="Calibri"/>
                <w:color w:val="000000"/>
              </w:rPr>
              <w:t>Estacional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Semidecidual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Submontana</w:t>
            </w:r>
            <w:proofErr w:type="spellEnd"/>
          </w:p>
        </w:tc>
        <w:tc>
          <w:tcPr>
            <w:tcW w:w="1498" w:type="dxa"/>
            <w:noWrap/>
            <w:vAlign w:val="center"/>
          </w:tcPr>
          <w:p w14:paraId="6AD4EDFA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Fs</w:t>
            </w:r>
          </w:p>
        </w:tc>
        <w:tc>
          <w:tcPr>
            <w:tcW w:w="992" w:type="dxa"/>
            <w:noWrap/>
            <w:vAlign w:val="bottom"/>
          </w:tcPr>
          <w:p w14:paraId="05BA8E9A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123.08</w:t>
            </w:r>
          </w:p>
        </w:tc>
        <w:tc>
          <w:tcPr>
            <w:tcW w:w="2477" w:type="dxa"/>
          </w:tcPr>
          <w:p w14:paraId="60FD6A4F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737F750C" w14:textId="77777777" w:rsidTr="00641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719EC7DD" w14:textId="77777777" w:rsidR="002559B8" w:rsidRPr="003A50AE" w:rsidRDefault="002559B8" w:rsidP="002103AD">
            <w:pPr>
              <w:jc w:val="both"/>
              <w:rPr>
                <w:rFonts w:ascii="Calibri" w:eastAsia="Times New Roman" w:hAnsi="Calibri" w:cs="Times New Roman"/>
                <w:b w:val="0"/>
                <w:lang w:val="pt-BR"/>
              </w:rPr>
            </w:pPr>
          </w:p>
        </w:tc>
        <w:tc>
          <w:tcPr>
            <w:tcW w:w="1844" w:type="dxa"/>
            <w:vMerge/>
            <w:vAlign w:val="center"/>
          </w:tcPr>
          <w:p w14:paraId="736651A8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lang w:val="pt-BR"/>
              </w:rPr>
            </w:pPr>
          </w:p>
        </w:tc>
        <w:tc>
          <w:tcPr>
            <w:tcW w:w="3868" w:type="dxa"/>
            <w:noWrap/>
            <w:vAlign w:val="center"/>
          </w:tcPr>
          <w:p w14:paraId="37579B49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Floresta Ombrófila Mista Alto-Montana</w:t>
            </w:r>
          </w:p>
        </w:tc>
        <w:tc>
          <w:tcPr>
            <w:tcW w:w="1498" w:type="dxa"/>
            <w:noWrap/>
            <w:vAlign w:val="center"/>
          </w:tcPr>
          <w:p w14:paraId="36ECFFBC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</w:t>
            </w:r>
          </w:p>
        </w:tc>
        <w:tc>
          <w:tcPr>
            <w:tcW w:w="992" w:type="dxa"/>
            <w:noWrap/>
            <w:vAlign w:val="bottom"/>
          </w:tcPr>
          <w:p w14:paraId="3D1B9C53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142.66</w:t>
            </w:r>
          </w:p>
        </w:tc>
        <w:tc>
          <w:tcPr>
            <w:tcW w:w="2477" w:type="dxa"/>
          </w:tcPr>
          <w:p w14:paraId="6748EB80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360337BF" w14:textId="77777777" w:rsidTr="00641E09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7BBA4E9B" w14:textId="77777777" w:rsidR="002559B8" w:rsidRPr="003A50AE" w:rsidRDefault="002559B8" w:rsidP="002103AD">
            <w:pPr>
              <w:jc w:val="both"/>
              <w:rPr>
                <w:rFonts w:ascii="Calibri" w:eastAsia="Times New Roman" w:hAnsi="Calibri" w:cs="Times New Roman"/>
                <w:b w:val="0"/>
                <w:lang w:val="pt-BR"/>
              </w:rPr>
            </w:pPr>
          </w:p>
        </w:tc>
        <w:tc>
          <w:tcPr>
            <w:tcW w:w="1844" w:type="dxa"/>
            <w:vMerge/>
            <w:vAlign w:val="center"/>
          </w:tcPr>
          <w:p w14:paraId="35669D40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lang w:val="pt-BR"/>
              </w:rPr>
            </w:pPr>
          </w:p>
        </w:tc>
        <w:tc>
          <w:tcPr>
            <w:tcW w:w="3868" w:type="dxa"/>
            <w:noWrap/>
            <w:vAlign w:val="center"/>
          </w:tcPr>
          <w:p w14:paraId="3CAB6D5A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Floresta </w:t>
            </w:r>
            <w:proofErr w:type="spellStart"/>
            <w:r>
              <w:rPr>
                <w:rFonts w:ascii="Calibri" w:hAnsi="Calibri" w:cs="Calibri"/>
                <w:color w:val="000000"/>
              </w:rPr>
              <w:t>Ombrófila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Mista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Montana</w:t>
            </w:r>
          </w:p>
        </w:tc>
        <w:tc>
          <w:tcPr>
            <w:tcW w:w="1498" w:type="dxa"/>
            <w:noWrap/>
            <w:vAlign w:val="center"/>
          </w:tcPr>
          <w:p w14:paraId="178EEC04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Mm</w:t>
            </w:r>
          </w:p>
        </w:tc>
        <w:tc>
          <w:tcPr>
            <w:tcW w:w="992" w:type="dxa"/>
            <w:noWrap/>
            <w:vAlign w:val="bottom"/>
          </w:tcPr>
          <w:p w14:paraId="61011285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142.66</w:t>
            </w:r>
          </w:p>
        </w:tc>
        <w:tc>
          <w:tcPr>
            <w:tcW w:w="2477" w:type="dxa"/>
          </w:tcPr>
          <w:p w14:paraId="01305395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71F78AA0" w14:textId="77777777" w:rsidTr="00641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347E7234" w14:textId="77777777" w:rsidR="002559B8" w:rsidRPr="003A50AE" w:rsidRDefault="002559B8" w:rsidP="002103AD">
            <w:pPr>
              <w:jc w:val="both"/>
              <w:rPr>
                <w:rFonts w:ascii="Calibri" w:eastAsia="Times New Roman" w:hAnsi="Calibri" w:cs="Times New Roman"/>
                <w:b w:val="0"/>
                <w:lang w:val="pt-BR"/>
              </w:rPr>
            </w:pPr>
          </w:p>
        </w:tc>
        <w:tc>
          <w:tcPr>
            <w:tcW w:w="1844" w:type="dxa"/>
            <w:vMerge/>
            <w:vAlign w:val="center"/>
          </w:tcPr>
          <w:p w14:paraId="71F015B2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lang w:val="pt-BR"/>
              </w:rPr>
            </w:pPr>
          </w:p>
        </w:tc>
        <w:tc>
          <w:tcPr>
            <w:tcW w:w="3868" w:type="dxa"/>
            <w:noWrap/>
            <w:vAlign w:val="center"/>
          </w:tcPr>
          <w:p w14:paraId="227D4195" w14:textId="77777777" w:rsidR="002559B8" w:rsidRPr="00576741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t-BR"/>
              </w:rPr>
            </w:pPr>
            <w:r w:rsidRPr="00801FF0">
              <w:rPr>
                <w:rFonts w:ascii="Calibri" w:hAnsi="Calibri" w:cs="Calibri"/>
                <w:color w:val="000000"/>
                <w:lang w:val="pt-BR"/>
              </w:rPr>
              <w:t xml:space="preserve">Formação Pioneira com Influência Fluvial e/ou Lacustre </w:t>
            </w:r>
          </w:p>
        </w:tc>
        <w:tc>
          <w:tcPr>
            <w:tcW w:w="1498" w:type="dxa"/>
            <w:noWrap/>
            <w:vAlign w:val="center"/>
          </w:tcPr>
          <w:p w14:paraId="3A49A49B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</w:t>
            </w:r>
          </w:p>
        </w:tc>
        <w:tc>
          <w:tcPr>
            <w:tcW w:w="992" w:type="dxa"/>
            <w:noWrap/>
            <w:vAlign w:val="bottom"/>
          </w:tcPr>
          <w:p w14:paraId="363C9FFB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105.38</w:t>
            </w:r>
          </w:p>
        </w:tc>
        <w:tc>
          <w:tcPr>
            <w:tcW w:w="2477" w:type="dxa"/>
          </w:tcPr>
          <w:p w14:paraId="4ED23993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7D853250" w14:textId="77777777" w:rsidTr="00641E09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408E0E3E" w14:textId="77777777" w:rsidR="002559B8" w:rsidRPr="003A50AE" w:rsidRDefault="002559B8" w:rsidP="002103AD">
            <w:pPr>
              <w:jc w:val="both"/>
              <w:rPr>
                <w:rFonts w:ascii="Calibri" w:eastAsia="Times New Roman" w:hAnsi="Calibri" w:cs="Times New Roman"/>
                <w:b w:val="0"/>
                <w:lang w:val="pt-BR"/>
              </w:rPr>
            </w:pPr>
          </w:p>
        </w:tc>
        <w:tc>
          <w:tcPr>
            <w:tcW w:w="1844" w:type="dxa"/>
            <w:vMerge/>
            <w:vAlign w:val="center"/>
          </w:tcPr>
          <w:p w14:paraId="24C52C94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lang w:val="pt-BR"/>
              </w:rPr>
            </w:pPr>
          </w:p>
        </w:tc>
        <w:tc>
          <w:tcPr>
            <w:tcW w:w="3868" w:type="dxa"/>
            <w:noWrap/>
            <w:vAlign w:val="center"/>
          </w:tcPr>
          <w:p w14:paraId="3B4BEB41" w14:textId="77777777" w:rsidR="002559B8" w:rsidRPr="00576741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t-BR"/>
              </w:rPr>
            </w:pPr>
            <w:r w:rsidRPr="00801FF0">
              <w:rPr>
                <w:rFonts w:ascii="Calibri" w:hAnsi="Calibri" w:cs="Calibri"/>
                <w:color w:val="000000"/>
                <w:lang w:val="pt-BR"/>
              </w:rPr>
              <w:t xml:space="preserve">Formação Pioneira com Influência </w:t>
            </w:r>
            <w:proofErr w:type="spellStart"/>
            <w:r w:rsidRPr="00801FF0">
              <w:rPr>
                <w:rFonts w:ascii="Calibri" w:hAnsi="Calibri" w:cs="Calibri"/>
                <w:color w:val="000000"/>
                <w:lang w:val="pt-BR"/>
              </w:rPr>
              <w:t>Fluviomarinha</w:t>
            </w:r>
            <w:proofErr w:type="spellEnd"/>
            <w:r w:rsidRPr="00801FF0">
              <w:rPr>
                <w:rFonts w:ascii="Calibri" w:hAnsi="Calibri" w:cs="Calibri"/>
                <w:color w:val="000000"/>
                <w:lang w:val="pt-BR"/>
              </w:rPr>
              <w:t xml:space="preserve"> (mangue)</w:t>
            </w:r>
          </w:p>
        </w:tc>
        <w:tc>
          <w:tcPr>
            <w:tcW w:w="1498" w:type="dxa"/>
            <w:noWrap/>
            <w:vAlign w:val="center"/>
          </w:tcPr>
          <w:p w14:paraId="6A8CED02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Pf</w:t>
            </w:r>
            <w:proofErr w:type="spellEnd"/>
          </w:p>
        </w:tc>
        <w:tc>
          <w:tcPr>
            <w:tcW w:w="992" w:type="dxa"/>
            <w:noWrap/>
            <w:vAlign w:val="bottom"/>
          </w:tcPr>
          <w:p w14:paraId="3B6D621C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117.21</w:t>
            </w:r>
          </w:p>
        </w:tc>
        <w:tc>
          <w:tcPr>
            <w:tcW w:w="2477" w:type="dxa"/>
          </w:tcPr>
          <w:p w14:paraId="6E5993BA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192F483A" w14:textId="77777777" w:rsidTr="00641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79E82F0E" w14:textId="77777777" w:rsidR="002559B8" w:rsidRPr="003A50AE" w:rsidRDefault="002559B8" w:rsidP="002103AD">
            <w:pPr>
              <w:jc w:val="both"/>
              <w:rPr>
                <w:rFonts w:ascii="Calibri" w:eastAsia="Times New Roman" w:hAnsi="Calibri" w:cs="Times New Roman"/>
                <w:b w:val="0"/>
                <w:lang w:val="pt-BR"/>
              </w:rPr>
            </w:pPr>
          </w:p>
        </w:tc>
        <w:tc>
          <w:tcPr>
            <w:tcW w:w="1844" w:type="dxa"/>
            <w:vMerge/>
            <w:vAlign w:val="center"/>
          </w:tcPr>
          <w:p w14:paraId="5B622000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lang w:val="pt-BR"/>
              </w:rPr>
            </w:pPr>
          </w:p>
        </w:tc>
        <w:tc>
          <w:tcPr>
            <w:tcW w:w="3868" w:type="dxa"/>
            <w:noWrap/>
            <w:vAlign w:val="center"/>
          </w:tcPr>
          <w:p w14:paraId="5E7279D6" w14:textId="77777777" w:rsidR="002559B8" w:rsidRPr="00576741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t-BR"/>
              </w:rPr>
            </w:pPr>
            <w:r w:rsidRPr="00801FF0">
              <w:rPr>
                <w:rFonts w:ascii="Calibri" w:hAnsi="Calibri" w:cs="Calibri"/>
                <w:color w:val="000000"/>
                <w:lang w:val="pt-BR"/>
              </w:rPr>
              <w:t>Formação Pioneira com Influência Marinha (restinga)</w:t>
            </w:r>
          </w:p>
        </w:tc>
        <w:tc>
          <w:tcPr>
            <w:tcW w:w="1498" w:type="dxa"/>
            <w:noWrap/>
            <w:vAlign w:val="center"/>
          </w:tcPr>
          <w:p w14:paraId="68B8FEC6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Pm</w:t>
            </w:r>
          </w:p>
        </w:tc>
        <w:tc>
          <w:tcPr>
            <w:tcW w:w="992" w:type="dxa"/>
            <w:noWrap/>
            <w:vAlign w:val="bottom"/>
          </w:tcPr>
          <w:p w14:paraId="1C12F1AF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130.7</w:t>
            </w:r>
          </w:p>
        </w:tc>
        <w:tc>
          <w:tcPr>
            <w:tcW w:w="2477" w:type="dxa"/>
          </w:tcPr>
          <w:p w14:paraId="1DCE94CD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5EF1F46C" w14:textId="77777777" w:rsidTr="00641E09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45F2A50C" w14:textId="77777777" w:rsidR="002559B8" w:rsidRPr="003A50AE" w:rsidRDefault="002559B8" w:rsidP="002103AD">
            <w:pPr>
              <w:jc w:val="both"/>
              <w:rPr>
                <w:rFonts w:ascii="Calibri" w:eastAsia="Times New Roman" w:hAnsi="Calibri" w:cs="Times New Roman"/>
                <w:b w:val="0"/>
                <w:lang w:val="pt-BR"/>
              </w:rPr>
            </w:pPr>
          </w:p>
        </w:tc>
        <w:tc>
          <w:tcPr>
            <w:tcW w:w="1844" w:type="dxa"/>
            <w:vMerge/>
            <w:vAlign w:val="center"/>
          </w:tcPr>
          <w:p w14:paraId="08B29E3F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lang w:val="pt-BR"/>
              </w:rPr>
            </w:pPr>
          </w:p>
        </w:tc>
        <w:tc>
          <w:tcPr>
            <w:tcW w:w="3868" w:type="dxa"/>
            <w:noWrap/>
            <w:vAlign w:val="center"/>
          </w:tcPr>
          <w:p w14:paraId="476D850B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Refúgio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Alto-Montano</w:t>
            </w:r>
          </w:p>
        </w:tc>
        <w:tc>
          <w:tcPr>
            <w:tcW w:w="1498" w:type="dxa"/>
            <w:noWrap/>
            <w:vAlign w:val="center"/>
          </w:tcPr>
          <w:p w14:paraId="4F95CCA3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RI</w:t>
            </w:r>
          </w:p>
        </w:tc>
        <w:tc>
          <w:tcPr>
            <w:tcW w:w="992" w:type="dxa"/>
            <w:noWrap/>
            <w:vAlign w:val="bottom"/>
          </w:tcPr>
          <w:p w14:paraId="40D87AA8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14.5</w:t>
            </w:r>
          </w:p>
        </w:tc>
        <w:tc>
          <w:tcPr>
            <w:tcW w:w="2477" w:type="dxa"/>
          </w:tcPr>
          <w:p w14:paraId="4BE65905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2BB28861" w14:textId="77777777" w:rsidTr="00641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033ACAC0" w14:textId="77777777" w:rsidR="002559B8" w:rsidRPr="003A50AE" w:rsidRDefault="002559B8" w:rsidP="002103AD">
            <w:pPr>
              <w:jc w:val="both"/>
              <w:rPr>
                <w:rFonts w:ascii="Calibri" w:eastAsia="Times New Roman" w:hAnsi="Calibri" w:cs="Times New Roman"/>
                <w:b w:val="0"/>
                <w:lang w:val="pt-BR"/>
              </w:rPr>
            </w:pPr>
          </w:p>
        </w:tc>
        <w:tc>
          <w:tcPr>
            <w:tcW w:w="1844" w:type="dxa"/>
            <w:vMerge/>
            <w:vAlign w:val="center"/>
          </w:tcPr>
          <w:p w14:paraId="0180D05E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lang w:val="pt-BR"/>
              </w:rPr>
            </w:pPr>
          </w:p>
        </w:tc>
        <w:tc>
          <w:tcPr>
            <w:tcW w:w="3868" w:type="dxa"/>
            <w:noWrap/>
            <w:vAlign w:val="center"/>
          </w:tcPr>
          <w:p w14:paraId="45C6447F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Refúgio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Montano</w:t>
            </w:r>
          </w:p>
        </w:tc>
        <w:tc>
          <w:tcPr>
            <w:tcW w:w="1498" w:type="dxa"/>
            <w:noWrap/>
            <w:vAlign w:val="center"/>
          </w:tcPr>
          <w:p w14:paraId="623E9C43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Rm</w:t>
            </w:r>
          </w:p>
        </w:tc>
        <w:tc>
          <w:tcPr>
            <w:tcW w:w="992" w:type="dxa"/>
            <w:noWrap/>
            <w:vAlign w:val="bottom"/>
          </w:tcPr>
          <w:p w14:paraId="16FDA529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18.49</w:t>
            </w:r>
          </w:p>
        </w:tc>
        <w:tc>
          <w:tcPr>
            <w:tcW w:w="2477" w:type="dxa"/>
          </w:tcPr>
          <w:p w14:paraId="1BB5E22D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470B879F" w14:textId="77777777" w:rsidTr="00641E09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7B26B545" w14:textId="77777777" w:rsidR="002559B8" w:rsidRPr="003A50AE" w:rsidRDefault="002559B8" w:rsidP="002103AD">
            <w:pPr>
              <w:jc w:val="both"/>
              <w:rPr>
                <w:rFonts w:ascii="Calibri" w:eastAsia="Times New Roman" w:hAnsi="Calibri" w:cs="Times New Roman"/>
                <w:b w:val="0"/>
                <w:lang w:val="pt-BR"/>
              </w:rPr>
            </w:pPr>
          </w:p>
        </w:tc>
        <w:tc>
          <w:tcPr>
            <w:tcW w:w="1844" w:type="dxa"/>
            <w:vMerge/>
            <w:vAlign w:val="center"/>
          </w:tcPr>
          <w:p w14:paraId="17051593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lang w:val="pt-BR"/>
              </w:rPr>
            </w:pPr>
          </w:p>
        </w:tc>
        <w:tc>
          <w:tcPr>
            <w:tcW w:w="3868" w:type="dxa"/>
            <w:noWrap/>
            <w:vAlign w:val="center"/>
          </w:tcPr>
          <w:p w14:paraId="39196578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Savana </w:t>
            </w:r>
            <w:proofErr w:type="spellStart"/>
            <w:r>
              <w:rPr>
                <w:rFonts w:ascii="Calibri" w:hAnsi="Calibri" w:cs="Calibri"/>
                <w:color w:val="000000"/>
              </w:rPr>
              <w:t>Arborizada</w:t>
            </w:r>
            <w:proofErr w:type="spellEnd"/>
          </w:p>
        </w:tc>
        <w:tc>
          <w:tcPr>
            <w:tcW w:w="1498" w:type="dxa"/>
            <w:noWrap/>
            <w:vAlign w:val="center"/>
          </w:tcPr>
          <w:p w14:paraId="1E5687DC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</w:t>
            </w:r>
          </w:p>
        </w:tc>
        <w:tc>
          <w:tcPr>
            <w:tcW w:w="992" w:type="dxa"/>
            <w:noWrap/>
            <w:vAlign w:val="bottom"/>
          </w:tcPr>
          <w:p w14:paraId="78A6BF89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39.91</w:t>
            </w:r>
          </w:p>
        </w:tc>
        <w:tc>
          <w:tcPr>
            <w:tcW w:w="2477" w:type="dxa"/>
          </w:tcPr>
          <w:p w14:paraId="300EE8F3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0373667C" w14:textId="77777777" w:rsidTr="00641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205EB455" w14:textId="77777777" w:rsidR="002559B8" w:rsidRPr="003A50AE" w:rsidRDefault="002559B8" w:rsidP="002103AD">
            <w:pPr>
              <w:jc w:val="both"/>
              <w:rPr>
                <w:rFonts w:ascii="Calibri" w:eastAsia="Times New Roman" w:hAnsi="Calibri" w:cs="Times New Roman"/>
                <w:b w:val="0"/>
                <w:lang w:val="pt-BR"/>
              </w:rPr>
            </w:pPr>
          </w:p>
        </w:tc>
        <w:tc>
          <w:tcPr>
            <w:tcW w:w="1844" w:type="dxa"/>
            <w:vMerge/>
            <w:vAlign w:val="center"/>
          </w:tcPr>
          <w:p w14:paraId="6C38E4FD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lang w:val="pt-BR"/>
              </w:rPr>
            </w:pPr>
          </w:p>
        </w:tc>
        <w:tc>
          <w:tcPr>
            <w:tcW w:w="3868" w:type="dxa"/>
            <w:noWrap/>
            <w:vAlign w:val="center"/>
          </w:tcPr>
          <w:p w14:paraId="5DB59C05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Savana </w:t>
            </w:r>
            <w:proofErr w:type="spellStart"/>
            <w:r>
              <w:rPr>
                <w:rFonts w:ascii="Calibri" w:hAnsi="Calibri" w:cs="Calibri"/>
                <w:color w:val="000000"/>
              </w:rPr>
              <w:t>Florestada</w:t>
            </w:r>
            <w:proofErr w:type="spellEnd"/>
          </w:p>
        </w:tc>
        <w:tc>
          <w:tcPr>
            <w:tcW w:w="1498" w:type="dxa"/>
            <w:noWrap/>
            <w:vAlign w:val="center"/>
          </w:tcPr>
          <w:p w14:paraId="1B2F4B0E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Sd</w:t>
            </w:r>
          </w:p>
        </w:tc>
        <w:tc>
          <w:tcPr>
            <w:tcW w:w="992" w:type="dxa"/>
            <w:noWrap/>
            <w:vAlign w:val="bottom"/>
          </w:tcPr>
          <w:p w14:paraId="005F0665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52.42</w:t>
            </w:r>
          </w:p>
        </w:tc>
        <w:tc>
          <w:tcPr>
            <w:tcW w:w="2477" w:type="dxa"/>
          </w:tcPr>
          <w:p w14:paraId="58850DE8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392B0973" w14:textId="77777777" w:rsidTr="00641E09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7D2F65CE" w14:textId="77777777" w:rsidR="002559B8" w:rsidRPr="003A50AE" w:rsidRDefault="002559B8" w:rsidP="002103AD">
            <w:pPr>
              <w:jc w:val="both"/>
              <w:rPr>
                <w:rFonts w:ascii="Calibri" w:eastAsia="Times New Roman" w:hAnsi="Calibri" w:cs="Times New Roman"/>
                <w:b w:val="0"/>
                <w:lang w:val="pt-BR"/>
              </w:rPr>
            </w:pPr>
          </w:p>
        </w:tc>
        <w:tc>
          <w:tcPr>
            <w:tcW w:w="1844" w:type="dxa"/>
            <w:vMerge/>
            <w:vAlign w:val="center"/>
          </w:tcPr>
          <w:p w14:paraId="1E6189F9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lang w:val="pt-BR"/>
              </w:rPr>
            </w:pPr>
          </w:p>
        </w:tc>
        <w:tc>
          <w:tcPr>
            <w:tcW w:w="3868" w:type="dxa"/>
            <w:noWrap/>
            <w:vAlign w:val="center"/>
          </w:tcPr>
          <w:p w14:paraId="1EF6CBEF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Savana </w:t>
            </w:r>
            <w:proofErr w:type="spellStart"/>
            <w:r>
              <w:rPr>
                <w:rFonts w:ascii="Calibri" w:hAnsi="Calibri" w:cs="Calibri"/>
                <w:color w:val="000000"/>
              </w:rPr>
              <w:t>Gramíneo-Lenhosa</w:t>
            </w:r>
            <w:proofErr w:type="spellEnd"/>
          </w:p>
        </w:tc>
        <w:tc>
          <w:tcPr>
            <w:tcW w:w="1498" w:type="dxa"/>
            <w:noWrap/>
            <w:vAlign w:val="center"/>
          </w:tcPr>
          <w:p w14:paraId="7CFA4552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Sg</w:t>
            </w:r>
          </w:p>
        </w:tc>
        <w:tc>
          <w:tcPr>
            <w:tcW w:w="992" w:type="dxa"/>
            <w:noWrap/>
            <w:vAlign w:val="bottom"/>
          </w:tcPr>
          <w:p w14:paraId="28424F28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18.49</w:t>
            </w:r>
          </w:p>
        </w:tc>
        <w:tc>
          <w:tcPr>
            <w:tcW w:w="2477" w:type="dxa"/>
          </w:tcPr>
          <w:p w14:paraId="12E36875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68AA4588" w14:textId="77777777" w:rsidTr="00641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43165C6A" w14:textId="77777777" w:rsidR="002559B8" w:rsidRPr="003A50AE" w:rsidRDefault="002559B8" w:rsidP="002103AD">
            <w:pPr>
              <w:jc w:val="both"/>
              <w:rPr>
                <w:rFonts w:ascii="Calibri" w:eastAsia="Times New Roman" w:hAnsi="Calibri" w:cs="Times New Roman"/>
                <w:b w:val="0"/>
                <w:lang w:val="pt-BR"/>
              </w:rPr>
            </w:pPr>
          </w:p>
        </w:tc>
        <w:tc>
          <w:tcPr>
            <w:tcW w:w="1844" w:type="dxa"/>
            <w:vMerge/>
            <w:vAlign w:val="center"/>
          </w:tcPr>
          <w:p w14:paraId="4BE42DF7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lang w:val="pt-BR"/>
              </w:rPr>
            </w:pPr>
          </w:p>
        </w:tc>
        <w:tc>
          <w:tcPr>
            <w:tcW w:w="3868" w:type="dxa"/>
            <w:noWrap/>
            <w:vAlign w:val="center"/>
          </w:tcPr>
          <w:p w14:paraId="0BC4464F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Savana Parque </w:t>
            </w:r>
          </w:p>
        </w:tc>
        <w:tc>
          <w:tcPr>
            <w:tcW w:w="1498" w:type="dxa"/>
            <w:noWrap/>
            <w:vAlign w:val="center"/>
          </w:tcPr>
          <w:p w14:paraId="03C9F58E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Sp</w:t>
            </w:r>
            <w:proofErr w:type="spellEnd"/>
          </w:p>
        </w:tc>
        <w:tc>
          <w:tcPr>
            <w:tcW w:w="992" w:type="dxa"/>
            <w:noWrap/>
            <w:vAlign w:val="bottom"/>
          </w:tcPr>
          <w:p w14:paraId="75DE0C8B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17.614</w:t>
            </w:r>
          </w:p>
        </w:tc>
        <w:tc>
          <w:tcPr>
            <w:tcW w:w="2477" w:type="dxa"/>
          </w:tcPr>
          <w:p w14:paraId="62942708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60DEFAEC" w14:textId="77777777" w:rsidTr="00641E09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673A5443" w14:textId="77777777" w:rsidR="002559B8" w:rsidRPr="003A50AE" w:rsidRDefault="002559B8" w:rsidP="002103AD">
            <w:pPr>
              <w:jc w:val="both"/>
              <w:rPr>
                <w:rFonts w:ascii="Calibri" w:hAnsi="Calibri" w:cs="Calibri"/>
                <w:color w:val="000000"/>
                <w:lang w:val="pt-BR"/>
              </w:rPr>
            </w:pPr>
          </w:p>
        </w:tc>
        <w:tc>
          <w:tcPr>
            <w:tcW w:w="1844" w:type="dxa"/>
            <w:vMerge w:val="restart"/>
            <w:vAlign w:val="center"/>
          </w:tcPr>
          <w:p w14:paraId="43BF70B9" w14:textId="77777777" w:rsidR="002559B8" w:rsidRPr="00801FF0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</w:rPr>
            </w:pPr>
            <w:proofErr w:type="spellStart"/>
            <w:r w:rsidRPr="00801FF0">
              <w:rPr>
                <w:rFonts w:ascii="Calibri" w:hAnsi="Calibri" w:cs="Calibri"/>
                <w:color w:val="000000"/>
              </w:rPr>
              <w:t>Cerrado</w:t>
            </w:r>
            <w:proofErr w:type="spellEnd"/>
          </w:p>
        </w:tc>
        <w:tc>
          <w:tcPr>
            <w:tcW w:w="3868" w:type="dxa"/>
            <w:noWrap/>
            <w:vAlign w:val="center"/>
          </w:tcPr>
          <w:p w14:paraId="22542FA4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Floresta </w:t>
            </w:r>
            <w:proofErr w:type="spellStart"/>
            <w:r>
              <w:rPr>
                <w:rFonts w:ascii="Calibri" w:hAnsi="Calibri" w:cs="Calibri"/>
                <w:color w:val="000000"/>
              </w:rPr>
              <w:t>Estacional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Decidual Montana</w:t>
            </w:r>
          </w:p>
        </w:tc>
        <w:tc>
          <w:tcPr>
            <w:tcW w:w="1498" w:type="dxa"/>
            <w:noWrap/>
            <w:vAlign w:val="center"/>
          </w:tcPr>
          <w:p w14:paraId="12B47688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Cm</w:t>
            </w:r>
          </w:p>
        </w:tc>
        <w:tc>
          <w:tcPr>
            <w:tcW w:w="992" w:type="dxa"/>
            <w:noWrap/>
            <w:vAlign w:val="bottom"/>
          </w:tcPr>
          <w:p w14:paraId="3033EB9E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127.83</w:t>
            </w:r>
          </w:p>
        </w:tc>
        <w:tc>
          <w:tcPr>
            <w:tcW w:w="2477" w:type="dxa"/>
          </w:tcPr>
          <w:p w14:paraId="52E2C651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649FA2E9" w14:textId="77777777" w:rsidTr="00641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654D2658" w14:textId="77777777" w:rsidR="002559B8" w:rsidRPr="003A50AE" w:rsidRDefault="002559B8" w:rsidP="002103AD">
            <w:pPr>
              <w:jc w:val="both"/>
              <w:rPr>
                <w:rFonts w:ascii="Calibri" w:eastAsia="Times New Roman" w:hAnsi="Calibri" w:cs="Times New Roman"/>
                <w:b w:val="0"/>
                <w:lang w:val="pt-BR"/>
              </w:rPr>
            </w:pPr>
          </w:p>
        </w:tc>
        <w:tc>
          <w:tcPr>
            <w:tcW w:w="1844" w:type="dxa"/>
            <w:vMerge/>
            <w:vAlign w:val="center"/>
          </w:tcPr>
          <w:p w14:paraId="5BC4EC69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lang w:val="pt-BR"/>
              </w:rPr>
            </w:pPr>
          </w:p>
        </w:tc>
        <w:tc>
          <w:tcPr>
            <w:tcW w:w="3868" w:type="dxa"/>
            <w:noWrap/>
            <w:vAlign w:val="center"/>
          </w:tcPr>
          <w:p w14:paraId="2CAE6E4F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Floresta </w:t>
            </w:r>
            <w:proofErr w:type="spellStart"/>
            <w:r>
              <w:rPr>
                <w:rFonts w:ascii="Calibri" w:hAnsi="Calibri" w:cs="Calibri"/>
                <w:color w:val="000000"/>
              </w:rPr>
              <w:t>Estacional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Decidual </w:t>
            </w:r>
            <w:proofErr w:type="spellStart"/>
            <w:r>
              <w:rPr>
                <w:rFonts w:ascii="Calibri" w:hAnsi="Calibri" w:cs="Calibri"/>
                <w:color w:val="000000"/>
              </w:rPr>
              <w:t>Submontana</w:t>
            </w:r>
            <w:proofErr w:type="spellEnd"/>
          </w:p>
        </w:tc>
        <w:tc>
          <w:tcPr>
            <w:tcW w:w="1498" w:type="dxa"/>
            <w:noWrap/>
            <w:vAlign w:val="center"/>
          </w:tcPr>
          <w:p w14:paraId="3ACA9156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Cs</w:t>
            </w:r>
          </w:p>
        </w:tc>
        <w:tc>
          <w:tcPr>
            <w:tcW w:w="992" w:type="dxa"/>
            <w:noWrap/>
            <w:vAlign w:val="bottom"/>
          </w:tcPr>
          <w:p w14:paraId="08365268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127.83</w:t>
            </w:r>
          </w:p>
        </w:tc>
        <w:tc>
          <w:tcPr>
            <w:tcW w:w="2477" w:type="dxa"/>
          </w:tcPr>
          <w:p w14:paraId="2704222B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76499C96" w14:textId="77777777" w:rsidTr="00641E09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5B39B5EF" w14:textId="77777777" w:rsidR="002559B8" w:rsidRPr="003A50AE" w:rsidRDefault="002559B8" w:rsidP="002103AD">
            <w:pPr>
              <w:jc w:val="both"/>
              <w:rPr>
                <w:rFonts w:ascii="Calibri" w:eastAsia="Times New Roman" w:hAnsi="Calibri" w:cs="Times New Roman"/>
                <w:b w:val="0"/>
                <w:lang w:val="pt-BR"/>
              </w:rPr>
            </w:pPr>
          </w:p>
        </w:tc>
        <w:tc>
          <w:tcPr>
            <w:tcW w:w="1844" w:type="dxa"/>
            <w:vMerge/>
            <w:vAlign w:val="center"/>
          </w:tcPr>
          <w:p w14:paraId="5005843D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lang w:val="pt-BR"/>
              </w:rPr>
            </w:pPr>
          </w:p>
        </w:tc>
        <w:tc>
          <w:tcPr>
            <w:tcW w:w="3868" w:type="dxa"/>
            <w:noWrap/>
            <w:vAlign w:val="center"/>
          </w:tcPr>
          <w:p w14:paraId="7EAF0002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Floresta </w:t>
            </w:r>
            <w:proofErr w:type="spellStart"/>
            <w:r>
              <w:rPr>
                <w:rFonts w:ascii="Calibri" w:hAnsi="Calibri" w:cs="Calibri"/>
                <w:color w:val="000000"/>
              </w:rPr>
              <w:t>Ombrófila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Densa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Montana</w:t>
            </w:r>
          </w:p>
        </w:tc>
        <w:tc>
          <w:tcPr>
            <w:tcW w:w="1498" w:type="dxa"/>
            <w:noWrap/>
            <w:vAlign w:val="center"/>
          </w:tcPr>
          <w:p w14:paraId="1AA0437E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Dm</w:t>
            </w:r>
          </w:p>
        </w:tc>
        <w:tc>
          <w:tcPr>
            <w:tcW w:w="992" w:type="dxa"/>
            <w:noWrap/>
            <w:vAlign w:val="bottom"/>
          </w:tcPr>
          <w:p w14:paraId="1149E882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177.75</w:t>
            </w:r>
          </w:p>
        </w:tc>
        <w:tc>
          <w:tcPr>
            <w:tcW w:w="2477" w:type="dxa"/>
          </w:tcPr>
          <w:p w14:paraId="5B696B63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22BA14DD" w14:textId="77777777" w:rsidTr="00641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01092EB7" w14:textId="77777777" w:rsidR="002559B8" w:rsidRPr="003A50AE" w:rsidRDefault="002559B8" w:rsidP="002103AD">
            <w:pPr>
              <w:jc w:val="both"/>
              <w:rPr>
                <w:rFonts w:ascii="Calibri" w:eastAsia="Times New Roman" w:hAnsi="Calibri" w:cs="Times New Roman"/>
                <w:b w:val="0"/>
                <w:lang w:val="pt-BR"/>
              </w:rPr>
            </w:pPr>
          </w:p>
        </w:tc>
        <w:tc>
          <w:tcPr>
            <w:tcW w:w="1844" w:type="dxa"/>
            <w:vMerge/>
            <w:vAlign w:val="center"/>
          </w:tcPr>
          <w:p w14:paraId="5851DEA6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lang w:val="pt-BR"/>
              </w:rPr>
            </w:pPr>
          </w:p>
        </w:tc>
        <w:tc>
          <w:tcPr>
            <w:tcW w:w="3868" w:type="dxa"/>
            <w:noWrap/>
            <w:vAlign w:val="center"/>
          </w:tcPr>
          <w:p w14:paraId="57D75AAD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Floresta </w:t>
            </w:r>
            <w:proofErr w:type="spellStart"/>
            <w:r>
              <w:rPr>
                <w:rFonts w:ascii="Calibri" w:hAnsi="Calibri" w:cs="Calibri"/>
                <w:color w:val="000000"/>
              </w:rPr>
              <w:t>Estacional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Semidecidual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Aluvial</w:t>
            </w:r>
            <w:proofErr w:type="spellEnd"/>
          </w:p>
        </w:tc>
        <w:tc>
          <w:tcPr>
            <w:tcW w:w="1498" w:type="dxa"/>
            <w:noWrap/>
            <w:vAlign w:val="center"/>
          </w:tcPr>
          <w:p w14:paraId="7BBE7204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Fa</w:t>
            </w:r>
          </w:p>
        </w:tc>
        <w:tc>
          <w:tcPr>
            <w:tcW w:w="992" w:type="dxa"/>
            <w:noWrap/>
            <w:vAlign w:val="bottom"/>
          </w:tcPr>
          <w:p w14:paraId="5428F51E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86.08</w:t>
            </w:r>
          </w:p>
        </w:tc>
        <w:tc>
          <w:tcPr>
            <w:tcW w:w="2477" w:type="dxa"/>
          </w:tcPr>
          <w:p w14:paraId="42506EDE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5A57AF25" w14:textId="77777777" w:rsidTr="00641E09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57BF306F" w14:textId="77777777" w:rsidR="002559B8" w:rsidRPr="003A50AE" w:rsidRDefault="002559B8" w:rsidP="002103AD">
            <w:pPr>
              <w:jc w:val="both"/>
              <w:rPr>
                <w:rFonts w:ascii="Calibri" w:eastAsia="Times New Roman" w:hAnsi="Calibri" w:cs="Times New Roman"/>
                <w:b w:val="0"/>
                <w:lang w:val="pt-BR"/>
              </w:rPr>
            </w:pPr>
          </w:p>
        </w:tc>
        <w:tc>
          <w:tcPr>
            <w:tcW w:w="1844" w:type="dxa"/>
            <w:vMerge/>
            <w:vAlign w:val="center"/>
          </w:tcPr>
          <w:p w14:paraId="5CB1FD78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lang w:val="pt-BR"/>
              </w:rPr>
            </w:pPr>
          </w:p>
        </w:tc>
        <w:tc>
          <w:tcPr>
            <w:tcW w:w="3868" w:type="dxa"/>
            <w:noWrap/>
            <w:vAlign w:val="center"/>
          </w:tcPr>
          <w:p w14:paraId="3355DB0E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Floresta </w:t>
            </w:r>
            <w:proofErr w:type="spellStart"/>
            <w:r>
              <w:rPr>
                <w:rFonts w:ascii="Calibri" w:hAnsi="Calibri" w:cs="Calibri"/>
                <w:color w:val="000000"/>
              </w:rPr>
              <w:t>Estacional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Semidecidual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Montana</w:t>
            </w:r>
          </w:p>
        </w:tc>
        <w:tc>
          <w:tcPr>
            <w:tcW w:w="1498" w:type="dxa"/>
            <w:noWrap/>
            <w:vAlign w:val="center"/>
          </w:tcPr>
          <w:p w14:paraId="7FC18897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Fm</w:t>
            </w:r>
          </w:p>
        </w:tc>
        <w:tc>
          <w:tcPr>
            <w:tcW w:w="992" w:type="dxa"/>
            <w:noWrap/>
            <w:vAlign w:val="bottom"/>
          </w:tcPr>
          <w:p w14:paraId="3EA20743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106.88</w:t>
            </w:r>
          </w:p>
        </w:tc>
        <w:tc>
          <w:tcPr>
            <w:tcW w:w="2477" w:type="dxa"/>
          </w:tcPr>
          <w:p w14:paraId="68FD594C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3A446364" w14:textId="77777777" w:rsidTr="00641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70E705EA" w14:textId="77777777" w:rsidR="002559B8" w:rsidRPr="003A50AE" w:rsidRDefault="002559B8" w:rsidP="002103AD">
            <w:pPr>
              <w:jc w:val="both"/>
              <w:rPr>
                <w:rFonts w:ascii="Calibri" w:eastAsia="Times New Roman" w:hAnsi="Calibri" w:cs="Times New Roman"/>
                <w:b w:val="0"/>
                <w:lang w:val="pt-BR"/>
              </w:rPr>
            </w:pPr>
          </w:p>
        </w:tc>
        <w:tc>
          <w:tcPr>
            <w:tcW w:w="1844" w:type="dxa"/>
            <w:vMerge/>
            <w:vAlign w:val="center"/>
          </w:tcPr>
          <w:p w14:paraId="69DADC4A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lang w:val="pt-BR"/>
              </w:rPr>
            </w:pPr>
          </w:p>
        </w:tc>
        <w:tc>
          <w:tcPr>
            <w:tcW w:w="3868" w:type="dxa"/>
            <w:noWrap/>
            <w:vAlign w:val="center"/>
          </w:tcPr>
          <w:p w14:paraId="0C41ED82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Floresta </w:t>
            </w:r>
            <w:proofErr w:type="spellStart"/>
            <w:r>
              <w:rPr>
                <w:rFonts w:ascii="Calibri" w:hAnsi="Calibri" w:cs="Calibri"/>
                <w:color w:val="000000"/>
              </w:rPr>
              <w:t>Estacional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Semidecidual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Submontana</w:t>
            </w:r>
            <w:proofErr w:type="spellEnd"/>
          </w:p>
        </w:tc>
        <w:tc>
          <w:tcPr>
            <w:tcW w:w="1498" w:type="dxa"/>
            <w:noWrap/>
            <w:vAlign w:val="center"/>
          </w:tcPr>
          <w:p w14:paraId="584159E9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Fs</w:t>
            </w:r>
          </w:p>
        </w:tc>
        <w:tc>
          <w:tcPr>
            <w:tcW w:w="992" w:type="dxa"/>
            <w:noWrap/>
            <w:vAlign w:val="bottom"/>
          </w:tcPr>
          <w:p w14:paraId="5E2316A2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87.55</w:t>
            </w:r>
          </w:p>
        </w:tc>
        <w:tc>
          <w:tcPr>
            <w:tcW w:w="2477" w:type="dxa"/>
          </w:tcPr>
          <w:p w14:paraId="032840A3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4DB9486F" w14:textId="77777777" w:rsidTr="00641E09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6CA5B351" w14:textId="77777777" w:rsidR="002559B8" w:rsidRPr="003A50AE" w:rsidRDefault="002559B8" w:rsidP="002103AD">
            <w:pPr>
              <w:jc w:val="both"/>
              <w:rPr>
                <w:rFonts w:ascii="Calibri" w:eastAsia="Times New Roman" w:hAnsi="Calibri" w:cs="Times New Roman"/>
                <w:b w:val="0"/>
                <w:lang w:val="pt-BR"/>
              </w:rPr>
            </w:pPr>
          </w:p>
        </w:tc>
        <w:tc>
          <w:tcPr>
            <w:tcW w:w="1844" w:type="dxa"/>
            <w:vMerge/>
            <w:vAlign w:val="center"/>
          </w:tcPr>
          <w:p w14:paraId="2BDD1FEA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lang w:val="pt-BR"/>
              </w:rPr>
            </w:pPr>
          </w:p>
        </w:tc>
        <w:tc>
          <w:tcPr>
            <w:tcW w:w="3868" w:type="dxa"/>
            <w:noWrap/>
            <w:vAlign w:val="center"/>
          </w:tcPr>
          <w:p w14:paraId="5D1E26A7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Floresta Ombrófila Mista Alto Montana</w:t>
            </w:r>
          </w:p>
        </w:tc>
        <w:tc>
          <w:tcPr>
            <w:tcW w:w="1498" w:type="dxa"/>
            <w:noWrap/>
            <w:vAlign w:val="center"/>
          </w:tcPr>
          <w:p w14:paraId="68BDBBEB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</w:t>
            </w:r>
          </w:p>
        </w:tc>
        <w:tc>
          <w:tcPr>
            <w:tcW w:w="992" w:type="dxa"/>
            <w:noWrap/>
            <w:vAlign w:val="bottom"/>
          </w:tcPr>
          <w:p w14:paraId="51DF0BC0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142.66</w:t>
            </w:r>
          </w:p>
        </w:tc>
        <w:tc>
          <w:tcPr>
            <w:tcW w:w="2477" w:type="dxa"/>
          </w:tcPr>
          <w:p w14:paraId="74D2955F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4E414069" w14:textId="77777777" w:rsidTr="00641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581CABF4" w14:textId="77777777" w:rsidR="002559B8" w:rsidRPr="003A50AE" w:rsidRDefault="002559B8" w:rsidP="002103AD">
            <w:pPr>
              <w:jc w:val="both"/>
              <w:rPr>
                <w:rFonts w:ascii="Calibri" w:eastAsia="Times New Roman" w:hAnsi="Calibri" w:cs="Times New Roman"/>
                <w:b w:val="0"/>
                <w:lang w:val="pt-BR"/>
              </w:rPr>
            </w:pPr>
          </w:p>
        </w:tc>
        <w:tc>
          <w:tcPr>
            <w:tcW w:w="1844" w:type="dxa"/>
            <w:vMerge/>
            <w:vAlign w:val="center"/>
          </w:tcPr>
          <w:p w14:paraId="5EFDA37A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lang w:val="pt-BR"/>
              </w:rPr>
            </w:pPr>
          </w:p>
        </w:tc>
        <w:tc>
          <w:tcPr>
            <w:tcW w:w="3868" w:type="dxa"/>
            <w:noWrap/>
            <w:vAlign w:val="center"/>
          </w:tcPr>
          <w:p w14:paraId="4375787B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Floresta </w:t>
            </w:r>
            <w:proofErr w:type="spellStart"/>
            <w:r>
              <w:rPr>
                <w:rFonts w:ascii="Calibri" w:hAnsi="Calibri" w:cs="Calibri"/>
                <w:color w:val="000000"/>
              </w:rPr>
              <w:t>Ombrófila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Mista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Montana</w:t>
            </w:r>
          </w:p>
        </w:tc>
        <w:tc>
          <w:tcPr>
            <w:tcW w:w="1498" w:type="dxa"/>
            <w:noWrap/>
            <w:vAlign w:val="center"/>
          </w:tcPr>
          <w:p w14:paraId="0C9BD583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Mm</w:t>
            </w:r>
          </w:p>
        </w:tc>
        <w:tc>
          <w:tcPr>
            <w:tcW w:w="992" w:type="dxa"/>
            <w:noWrap/>
            <w:vAlign w:val="bottom"/>
          </w:tcPr>
          <w:p w14:paraId="515AB95D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142.66</w:t>
            </w:r>
          </w:p>
        </w:tc>
        <w:tc>
          <w:tcPr>
            <w:tcW w:w="2477" w:type="dxa"/>
          </w:tcPr>
          <w:p w14:paraId="2085F629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15C577E6" w14:textId="77777777" w:rsidTr="00641E09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3850DADB" w14:textId="77777777" w:rsidR="002559B8" w:rsidRPr="003A50AE" w:rsidRDefault="002559B8" w:rsidP="002103AD">
            <w:pPr>
              <w:jc w:val="both"/>
              <w:rPr>
                <w:rFonts w:ascii="Calibri" w:eastAsia="Times New Roman" w:hAnsi="Calibri" w:cs="Times New Roman"/>
                <w:b w:val="0"/>
                <w:lang w:val="pt-BR"/>
              </w:rPr>
            </w:pPr>
          </w:p>
        </w:tc>
        <w:tc>
          <w:tcPr>
            <w:tcW w:w="1844" w:type="dxa"/>
            <w:vMerge/>
            <w:vAlign w:val="center"/>
          </w:tcPr>
          <w:p w14:paraId="10E8CDD1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lang w:val="pt-BR"/>
              </w:rPr>
            </w:pPr>
          </w:p>
        </w:tc>
        <w:tc>
          <w:tcPr>
            <w:tcW w:w="3868" w:type="dxa"/>
            <w:noWrap/>
            <w:vAlign w:val="center"/>
          </w:tcPr>
          <w:p w14:paraId="4E2C7EA0" w14:textId="77777777" w:rsidR="002559B8" w:rsidRPr="00576741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t-BR"/>
              </w:rPr>
            </w:pPr>
            <w:r w:rsidRPr="00801FF0">
              <w:rPr>
                <w:rFonts w:ascii="Calibri" w:hAnsi="Calibri" w:cs="Calibri"/>
                <w:color w:val="000000"/>
                <w:lang w:val="pt-BR"/>
              </w:rPr>
              <w:t>Formação Pioneira com Influência Fluvial e/ou Lacustre</w:t>
            </w:r>
          </w:p>
        </w:tc>
        <w:tc>
          <w:tcPr>
            <w:tcW w:w="1498" w:type="dxa"/>
            <w:noWrap/>
            <w:vAlign w:val="center"/>
          </w:tcPr>
          <w:p w14:paraId="1C02A6B4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</w:t>
            </w:r>
          </w:p>
        </w:tc>
        <w:tc>
          <w:tcPr>
            <w:tcW w:w="992" w:type="dxa"/>
            <w:noWrap/>
            <w:vAlign w:val="bottom"/>
          </w:tcPr>
          <w:p w14:paraId="2CC2146B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36.23</w:t>
            </w:r>
          </w:p>
        </w:tc>
        <w:tc>
          <w:tcPr>
            <w:tcW w:w="2477" w:type="dxa"/>
          </w:tcPr>
          <w:p w14:paraId="2C961C39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559B0130" w14:textId="77777777" w:rsidTr="00641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53956714" w14:textId="77777777" w:rsidR="002559B8" w:rsidRPr="003A50AE" w:rsidRDefault="002559B8" w:rsidP="002103AD">
            <w:pPr>
              <w:jc w:val="both"/>
              <w:rPr>
                <w:rFonts w:ascii="Calibri" w:eastAsia="Times New Roman" w:hAnsi="Calibri" w:cs="Times New Roman"/>
                <w:b w:val="0"/>
                <w:lang w:val="pt-BR"/>
              </w:rPr>
            </w:pPr>
          </w:p>
        </w:tc>
        <w:tc>
          <w:tcPr>
            <w:tcW w:w="1844" w:type="dxa"/>
            <w:vMerge/>
            <w:vAlign w:val="center"/>
          </w:tcPr>
          <w:p w14:paraId="25A050C5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lang w:val="pt-BR"/>
              </w:rPr>
            </w:pPr>
          </w:p>
        </w:tc>
        <w:tc>
          <w:tcPr>
            <w:tcW w:w="3868" w:type="dxa"/>
            <w:noWrap/>
            <w:vAlign w:val="center"/>
          </w:tcPr>
          <w:p w14:paraId="12475BA1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Savana </w:t>
            </w:r>
            <w:proofErr w:type="spellStart"/>
            <w:r>
              <w:rPr>
                <w:rFonts w:ascii="Calibri" w:hAnsi="Calibri" w:cs="Calibri"/>
                <w:color w:val="000000"/>
              </w:rPr>
              <w:t>Arborizada</w:t>
            </w:r>
            <w:proofErr w:type="spellEnd"/>
          </w:p>
        </w:tc>
        <w:tc>
          <w:tcPr>
            <w:tcW w:w="1498" w:type="dxa"/>
            <w:noWrap/>
            <w:vAlign w:val="center"/>
          </w:tcPr>
          <w:p w14:paraId="5692DC98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</w:t>
            </w:r>
          </w:p>
        </w:tc>
        <w:tc>
          <w:tcPr>
            <w:tcW w:w="992" w:type="dxa"/>
            <w:noWrap/>
            <w:vAlign w:val="bottom"/>
          </w:tcPr>
          <w:p w14:paraId="5B259A65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39.91</w:t>
            </w:r>
          </w:p>
        </w:tc>
        <w:tc>
          <w:tcPr>
            <w:tcW w:w="2477" w:type="dxa"/>
          </w:tcPr>
          <w:p w14:paraId="4CA0F31A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1BEE49A0" w14:textId="77777777" w:rsidTr="00641E09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368978FD" w14:textId="77777777" w:rsidR="002559B8" w:rsidRPr="003A50AE" w:rsidRDefault="002559B8" w:rsidP="002103AD">
            <w:pPr>
              <w:jc w:val="both"/>
              <w:rPr>
                <w:rFonts w:ascii="Calibri" w:hAnsi="Calibri" w:cs="Calibri"/>
                <w:b w:val="0"/>
                <w:color w:val="000000"/>
                <w:lang w:val="pt-BR"/>
              </w:rPr>
            </w:pPr>
          </w:p>
        </w:tc>
        <w:tc>
          <w:tcPr>
            <w:tcW w:w="1844" w:type="dxa"/>
            <w:vMerge/>
            <w:vAlign w:val="center"/>
          </w:tcPr>
          <w:p w14:paraId="52F340A0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lang w:val="pt-BR"/>
              </w:rPr>
            </w:pPr>
          </w:p>
        </w:tc>
        <w:tc>
          <w:tcPr>
            <w:tcW w:w="3868" w:type="dxa"/>
            <w:noWrap/>
            <w:vAlign w:val="center"/>
          </w:tcPr>
          <w:p w14:paraId="5903153D" w14:textId="77777777" w:rsidR="002559B8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Savana </w:t>
            </w:r>
            <w:proofErr w:type="spellStart"/>
            <w:r>
              <w:rPr>
                <w:rFonts w:ascii="Calibri" w:hAnsi="Calibri" w:cs="Calibri"/>
                <w:color w:val="000000"/>
              </w:rPr>
              <w:t>Florestada</w:t>
            </w:r>
            <w:proofErr w:type="spellEnd"/>
          </w:p>
        </w:tc>
        <w:tc>
          <w:tcPr>
            <w:tcW w:w="1498" w:type="dxa"/>
            <w:noWrap/>
            <w:vAlign w:val="center"/>
          </w:tcPr>
          <w:p w14:paraId="66529A34" w14:textId="77777777" w:rsidR="002559B8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Sd</w:t>
            </w:r>
          </w:p>
        </w:tc>
        <w:tc>
          <w:tcPr>
            <w:tcW w:w="992" w:type="dxa"/>
            <w:noWrap/>
            <w:vAlign w:val="bottom"/>
          </w:tcPr>
          <w:p w14:paraId="09F29CF4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68.98</w:t>
            </w:r>
          </w:p>
        </w:tc>
        <w:tc>
          <w:tcPr>
            <w:tcW w:w="2477" w:type="dxa"/>
          </w:tcPr>
          <w:p w14:paraId="3B7BEADF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5CA02150" w14:textId="77777777" w:rsidTr="00641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1F8B4616" w14:textId="77777777" w:rsidR="002559B8" w:rsidRPr="003A50AE" w:rsidRDefault="002559B8" w:rsidP="002103AD">
            <w:pPr>
              <w:jc w:val="both"/>
              <w:rPr>
                <w:rFonts w:ascii="Calibri" w:hAnsi="Calibri" w:cs="Calibri"/>
                <w:b w:val="0"/>
                <w:color w:val="000000"/>
                <w:lang w:val="pt-BR"/>
              </w:rPr>
            </w:pPr>
          </w:p>
        </w:tc>
        <w:tc>
          <w:tcPr>
            <w:tcW w:w="1844" w:type="dxa"/>
            <w:vMerge/>
            <w:vAlign w:val="center"/>
          </w:tcPr>
          <w:p w14:paraId="3D0C6DFE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lang w:val="pt-BR"/>
              </w:rPr>
            </w:pPr>
          </w:p>
        </w:tc>
        <w:tc>
          <w:tcPr>
            <w:tcW w:w="3868" w:type="dxa"/>
            <w:noWrap/>
            <w:vAlign w:val="center"/>
          </w:tcPr>
          <w:p w14:paraId="20E4855D" w14:textId="77777777" w:rsidR="002559B8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Savana </w:t>
            </w:r>
            <w:proofErr w:type="spellStart"/>
            <w:r>
              <w:rPr>
                <w:rFonts w:ascii="Calibri" w:hAnsi="Calibri" w:cs="Calibri"/>
                <w:color w:val="000000"/>
              </w:rPr>
              <w:t>Gramíneo-Lenhosa</w:t>
            </w:r>
            <w:proofErr w:type="spellEnd"/>
          </w:p>
        </w:tc>
        <w:tc>
          <w:tcPr>
            <w:tcW w:w="1498" w:type="dxa"/>
            <w:noWrap/>
            <w:vAlign w:val="center"/>
          </w:tcPr>
          <w:p w14:paraId="79DCFD53" w14:textId="77777777" w:rsidR="002559B8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Sg</w:t>
            </w:r>
          </w:p>
        </w:tc>
        <w:tc>
          <w:tcPr>
            <w:tcW w:w="992" w:type="dxa"/>
            <w:noWrap/>
            <w:vAlign w:val="bottom"/>
          </w:tcPr>
          <w:p w14:paraId="2DEF505D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18.49</w:t>
            </w:r>
          </w:p>
        </w:tc>
        <w:tc>
          <w:tcPr>
            <w:tcW w:w="2477" w:type="dxa"/>
          </w:tcPr>
          <w:p w14:paraId="50EAD953" w14:textId="77777777" w:rsidR="002559B8" w:rsidRPr="003A50AE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7C5F0C" w14:paraId="20890ADC" w14:textId="77777777" w:rsidTr="00641E09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062AE3F1" w14:textId="77777777" w:rsidR="002559B8" w:rsidRPr="003A50AE" w:rsidRDefault="002559B8" w:rsidP="002103AD">
            <w:pPr>
              <w:jc w:val="both"/>
              <w:rPr>
                <w:rFonts w:ascii="Calibri" w:hAnsi="Calibri" w:cs="Calibri"/>
                <w:b w:val="0"/>
                <w:color w:val="000000"/>
                <w:lang w:val="pt-BR"/>
              </w:rPr>
            </w:pPr>
          </w:p>
        </w:tc>
        <w:tc>
          <w:tcPr>
            <w:tcW w:w="1844" w:type="dxa"/>
            <w:vMerge/>
            <w:vAlign w:val="center"/>
          </w:tcPr>
          <w:p w14:paraId="36773AEA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lang w:val="pt-BR"/>
              </w:rPr>
            </w:pPr>
          </w:p>
        </w:tc>
        <w:tc>
          <w:tcPr>
            <w:tcW w:w="3868" w:type="dxa"/>
            <w:noWrap/>
            <w:vAlign w:val="center"/>
          </w:tcPr>
          <w:p w14:paraId="171BFCDA" w14:textId="77777777" w:rsidR="002559B8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Savana Parque</w:t>
            </w:r>
          </w:p>
        </w:tc>
        <w:tc>
          <w:tcPr>
            <w:tcW w:w="1498" w:type="dxa"/>
            <w:noWrap/>
            <w:vAlign w:val="center"/>
          </w:tcPr>
          <w:p w14:paraId="27BFE281" w14:textId="77777777" w:rsidR="002559B8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Sp</w:t>
            </w:r>
            <w:proofErr w:type="spellEnd"/>
          </w:p>
        </w:tc>
        <w:tc>
          <w:tcPr>
            <w:tcW w:w="992" w:type="dxa"/>
            <w:noWrap/>
            <w:vAlign w:val="bottom"/>
          </w:tcPr>
          <w:p w14:paraId="07614842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31.68</w:t>
            </w:r>
          </w:p>
        </w:tc>
        <w:tc>
          <w:tcPr>
            <w:tcW w:w="2477" w:type="dxa"/>
          </w:tcPr>
          <w:p w14:paraId="3A1DB3D7" w14:textId="77777777" w:rsidR="002559B8" w:rsidRPr="003A50AE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3A50AE">
              <w:rPr>
                <w:rFonts w:ascii="Calibri" w:hAnsi="Calibri" w:cs="Calibri"/>
                <w:color w:val="000000"/>
                <w:lang w:val="pt-BR"/>
              </w:rPr>
              <w:t>Brasil. MCTI III Inventario de GEE</w:t>
            </w:r>
          </w:p>
        </w:tc>
      </w:tr>
      <w:tr w:rsidR="002559B8" w:rsidRPr="00B6359F" w14:paraId="6F5EE9B6" w14:textId="77777777" w:rsidTr="00641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447265E6" w14:textId="77777777" w:rsidR="002559B8" w:rsidRPr="003A50AE" w:rsidRDefault="002559B8" w:rsidP="002103AD">
            <w:pPr>
              <w:jc w:val="both"/>
              <w:rPr>
                <w:rFonts w:ascii="Calibri" w:hAnsi="Calibri" w:cs="Calibri"/>
                <w:color w:val="000000"/>
                <w:lang w:val="pt-BR"/>
              </w:rPr>
            </w:pPr>
          </w:p>
        </w:tc>
        <w:tc>
          <w:tcPr>
            <w:tcW w:w="1844" w:type="dxa"/>
            <w:vAlign w:val="center"/>
          </w:tcPr>
          <w:p w14:paraId="73BC096F" w14:textId="77777777" w:rsidR="002559B8" w:rsidRPr="00396442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</w:rPr>
            </w:pPr>
            <w:proofErr w:type="spellStart"/>
            <w:r w:rsidRPr="00396442">
              <w:rPr>
                <w:rFonts w:ascii="Calibri" w:hAnsi="Calibri" w:cs="Calibri"/>
                <w:color w:val="000000"/>
              </w:rPr>
              <w:t>Plantação</w:t>
            </w:r>
            <w:proofErr w:type="spellEnd"/>
            <w:r w:rsidRPr="00396442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396442">
              <w:rPr>
                <w:rFonts w:ascii="Calibri" w:hAnsi="Calibri" w:cs="Calibri"/>
                <w:color w:val="000000"/>
              </w:rPr>
              <w:t>Florestal</w:t>
            </w:r>
            <w:proofErr w:type="spellEnd"/>
          </w:p>
        </w:tc>
        <w:tc>
          <w:tcPr>
            <w:tcW w:w="3868" w:type="dxa"/>
            <w:noWrap/>
            <w:vAlign w:val="center"/>
          </w:tcPr>
          <w:p w14:paraId="0FC2E236" w14:textId="77777777" w:rsidR="002559B8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Eucalyptus</w:t>
            </w:r>
          </w:p>
        </w:tc>
        <w:tc>
          <w:tcPr>
            <w:tcW w:w="1498" w:type="dxa"/>
            <w:noWrap/>
            <w:vAlign w:val="center"/>
          </w:tcPr>
          <w:p w14:paraId="426CE0E6" w14:textId="77777777" w:rsidR="002559B8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noWrap/>
          </w:tcPr>
          <w:p w14:paraId="65FCA2A1" w14:textId="63F80192" w:rsidR="002559B8" w:rsidRPr="00B6359F" w:rsidRDefault="00F32203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49.83</w:t>
            </w:r>
          </w:p>
        </w:tc>
        <w:tc>
          <w:tcPr>
            <w:tcW w:w="2477" w:type="dxa"/>
          </w:tcPr>
          <w:p w14:paraId="27F7FAD8" w14:textId="77777777" w:rsidR="002559B8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CETESB (2016)</w:t>
            </w:r>
          </w:p>
        </w:tc>
      </w:tr>
      <w:tr w:rsidR="002559B8" w:rsidRPr="00B6359F" w14:paraId="5C2DD43E" w14:textId="77777777" w:rsidTr="00641E09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2738E2A1" w14:textId="77777777" w:rsidR="002559B8" w:rsidRPr="00396442" w:rsidRDefault="002559B8" w:rsidP="002103AD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4" w:type="dxa"/>
            <w:vAlign w:val="center"/>
          </w:tcPr>
          <w:p w14:paraId="4C5B098A" w14:textId="77777777" w:rsidR="002559B8" w:rsidRPr="00396442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</w:rPr>
            </w:pPr>
            <w:proofErr w:type="spellStart"/>
            <w:r w:rsidRPr="00396442">
              <w:rPr>
                <w:rFonts w:ascii="Calibri" w:hAnsi="Calibri" w:cs="Calibri"/>
                <w:color w:val="000000"/>
              </w:rPr>
              <w:t>Plantação</w:t>
            </w:r>
            <w:proofErr w:type="spellEnd"/>
            <w:r w:rsidRPr="00396442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396442">
              <w:rPr>
                <w:rFonts w:ascii="Calibri" w:hAnsi="Calibri" w:cs="Calibri"/>
                <w:color w:val="000000"/>
              </w:rPr>
              <w:t>Florestal</w:t>
            </w:r>
            <w:proofErr w:type="spellEnd"/>
          </w:p>
        </w:tc>
        <w:tc>
          <w:tcPr>
            <w:tcW w:w="3868" w:type="dxa"/>
            <w:noWrap/>
            <w:vAlign w:val="center"/>
          </w:tcPr>
          <w:p w14:paraId="5B89BECF" w14:textId="77777777" w:rsidR="002559B8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Pinus</w:t>
            </w:r>
          </w:p>
        </w:tc>
        <w:tc>
          <w:tcPr>
            <w:tcW w:w="1498" w:type="dxa"/>
            <w:noWrap/>
            <w:vAlign w:val="center"/>
          </w:tcPr>
          <w:p w14:paraId="4E69F692" w14:textId="77777777" w:rsidR="002559B8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noWrap/>
          </w:tcPr>
          <w:p w14:paraId="5225240B" w14:textId="3FDE6DB0" w:rsidR="002559B8" w:rsidRPr="00B6359F" w:rsidRDefault="00F32203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49.83</w:t>
            </w:r>
          </w:p>
        </w:tc>
        <w:tc>
          <w:tcPr>
            <w:tcW w:w="2477" w:type="dxa"/>
          </w:tcPr>
          <w:p w14:paraId="75E48E23" w14:textId="77777777" w:rsidR="002559B8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CETESB (2016)</w:t>
            </w:r>
          </w:p>
        </w:tc>
      </w:tr>
      <w:tr w:rsidR="00DC607E" w:rsidRPr="007C5F0C" w14:paraId="798395AE" w14:textId="77777777" w:rsidTr="00641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 w:val="restart"/>
            <w:vAlign w:val="center"/>
          </w:tcPr>
          <w:p w14:paraId="65342E5B" w14:textId="77777777" w:rsidR="00DC607E" w:rsidRDefault="00DC607E" w:rsidP="002103AD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 w:val="0"/>
                <w:color w:val="000000"/>
              </w:rPr>
              <w:t xml:space="preserve">Areas </w:t>
            </w:r>
            <w:proofErr w:type="spellStart"/>
            <w:r>
              <w:rPr>
                <w:rFonts w:ascii="Calibri" w:hAnsi="Calibri" w:cs="Calibri"/>
                <w:b w:val="0"/>
                <w:color w:val="000000"/>
              </w:rPr>
              <w:t>agrícolas</w:t>
            </w:r>
            <w:proofErr w:type="spellEnd"/>
          </w:p>
        </w:tc>
        <w:tc>
          <w:tcPr>
            <w:tcW w:w="1844" w:type="dxa"/>
            <w:vAlign w:val="center"/>
          </w:tcPr>
          <w:p w14:paraId="1DE33F1D" w14:textId="2DFFEAAC" w:rsidR="00DC607E" w:rsidRPr="00801FF0" w:rsidRDefault="00DC607E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Soja</w:t>
            </w:r>
          </w:p>
        </w:tc>
        <w:tc>
          <w:tcPr>
            <w:tcW w:w="3868" w:type="dxa"/>
            <w:noWrap/>
            <w:vAlign w:val="center"/>
          </w:tcPr>
          <w:p w14:paraId="31F8FE26" w14:textId="77777777" w:rsidR="00DC607E" w:rsidRDefault="00DC607E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98" w:type="dxa"/>
            <w:noWrap/>
            <w:vAlign w:val="center"/>
          </w:tcPr>
          <w:p w14:paraId="383ABDA3" w14:textId="77777777" w:rsidR="00DC607E" w:rsidRDefault="00DC607E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noWrap/>
          </w:tcPr>
          <w:p w14:paraId="4089FB25" w14:textId="3FA6C9CB" w:rsidR="00DC607E" w:rsidRPr="00B6359F" w:rsidRDefault="00CD149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4.42</w:t>
            </w:r>
          </w:p>
        </w:tc>
        <w:tc>
          <w:tcPr>
            <w:tcW w:w="2477" w:type="dxa"/>
          </w:tcPr>
          <w:p w14:paraId="0874879F" w14:textId="20F2038D" w:rsidR="00DC607E" w:rsidRPr="007A2C23" w:rsidRDefault="00641E09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t-BR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BR"/>
              </w:rPr>
              <w:t>IV Inventario de GEE</w:t>
            </w:r>
            <w:r w:rsidR="007A2C23" w:rsidRPr="007A2C23">
              <w:rPr>
                <w:rFonts w:ascii="Calibri" w:eastAsia="Times New Roman" w:hAnsi="Calibri" w:cs="Times New Roman"/>
                <w:color w:val="000000"/>
                <w:lang w:val="pt-BR"/>
              </w:rPr>
              <w:t>. RR: UTMUTF</w:t>
            </w:r>
            <w:r w:rsidR="007A2C23">
              <w:rPr>
                <w:rFonts w:ascii="Calibri" w:eastAsia="Times New Roman" w:hAnsi="Calibri" w:cs="Times New Roman"/>
                <w:color w:val="000000"/>
                <w:lang w:val="pt-BR"/>
              </w:rPr>
              <w:t>,</w:t>
            </w:r>
            <w:r w:rsidR="00DC607E" w:rsidRPr="007A2C23">
              <w:rPr>
                <w:rFonts w:ascii="Calibri" w:eastAsia="Times New Roman" w:hAnsi="Calibri" w:cs="Times New Roman"/>
                <w:color w:val="000000"/>
                <w:lang w:val="pt-BR"/>
              </w:rPr>
              <w:t xml:space="preserve"> Tabela </w:t>
            </w:r>
            <w:r w:rsidR="007A2C23">
              <w:rPr>
                <w:rFonts w:ascii="Calibri" w:eastAsia="Times New Roman" w:hAnsi="Calibri" w:cs="Times New Roman"/>
                <w:color w:val="000000"/>
                <w:lang w:val="pt-BR"/>
              </w:rPr>
              <w:t>29</w:t>
            </w:r>
          </w:p>
        </w:tc>
      </w:tr>
      <w:tr w:rsidR="00641E09" w:rsidRPr="007C5F0C" w14:paraId="410C1C2B" w14:textId="77777777" w:rsidTr="00641E09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481239E2" w14:textId="77777777" w:rsidR="00641E09" w:rsidRPr="007A2C23" w:rsidRDefault="00641E09" w:rsidP="00641E09">
            <w:pPr>
              <w:jc w:val="both"/>
              <w:rPr>
                <w:rFonts w:ascii="Calibri" w:hAnsi="Calibri" w:cs="Calibri"/>
                <w:b w:val="0"/>
                <w:color w:val="000000"/>
                <w:lang w:val="pt-BR"/>
              </w:rPr>
            </w:pPr>
          </w:p>
        </w:tc>
        <w:tc>
          <w:tcPr>
            <w:tcW w:w="1844" w:type="dxa"/>
            <w:vAlign w:val="center"/>
          </w:tcPr>
          <w:p w14:paraId="7E436EBC" w14:textId="525E249A" w:rsidR="00641E09" w:rsidRPr="00801FF0" w:rsidRDefault="00641E09" w:rsidP="00641E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Cana</w:t>
            </w:r>
          </w:p>
        </w:tc>
        <w:tc>
          <w:tcPr>
            <w:tcW w:w="3868" w:type="dxa"/>
            <w:noWrap/>
            <w:vAlign w:val="center"/>
          </w:tcPr>
          <w:p w14:paraId="7BFC281E" w14:textId="77777777" w:rsidR="00641E09" w:rsidRDefault="00641E09" w:rsidP="00641E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98" w:type="dxa"/>
            <w:noWrap/>
            <w:vAlign w:val="center"/>
          </w:tcPr>
          <w:p w14:paraId="139BF0A0" w14:textId="77777777" w:rsidR="00641E09" w:rsidRDefault="00641E09" w:rsidP="00641E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noWrap/>
          </w:tcPr>
          <w:p w14:paraId="606AE8FD" w14:textId="40454FE8" w:rsidR="00641E09" w:rsidRPr="00B6359F" w:rsidRDefault="00CD1498" w:rsidP="00641E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4.42</w:t>
            </w:r>
          </w:p>
        </w:tc>
        <w:tc>
          <w:tcPr>
            <w:tcW w:w="2477" w:type="dxa"/>
          </w:tcPr>
          <w:p w14:paraId="00791AF7" w14:textId="30EA9A55" w:rsidR="00641E09" w:rsidRPr="007C5F0C" w:rsidRDefault="00641E09" w:rsidP="00641E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t-BR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BR"/>
              </w:rPr>
              <w:t>IV Inventario de GEE</w:t>
            </w:r>
            <w:r w:rsidRPr="007A2C23">
              <w:rPr>
                <w:rFonts w:ascii="Calibri" w:eastAsia="Times New Roman" w:hAnsi="Calibri" w:cs="Times New Roman"/>
                <w:color w:val="000000"/>
                <w:lang w:val="pt-BR"/>
              </w:rPr>
              <w:t>. RR: UTMUTF</w:t>
            </w:r>
            <w:r>
              <w:rPr>
                <w:rFonts w:ascii="Calibri" w:eastAsia="Times New Roman" w:hAnsi="Calibri" w:cs="Times New Roman"/>
                <w:color w:val="000000"/>
                <w:lang w:val="pt-BR"/>
              </w:rPr>
              <w:t>,</w:t>
            </w:r>
            <w:r w:rsidRPr="007A2C23">
              <w:rPr>
                <w:rFonts w:ascii="Calibri" w:eastAsia="Times New Roman" w:hAnsi="Calibri" w:cs="Times New Roman"/>
                <w:color w:val="000000"/>
                <w:lang w:val="pt-BR"/>
              </w:rPr>
              <w:t xml:space="preserve"> Tabela </w:t>
            </w:r>
            <w:r>
              <w:rPr>
                <w:rFonts w:ascii="Calibri" w:eastAsia="Times New Roman" w:hAnsi="Calibri" w:cs="Times New Roman"/>
                <w:color w:val="000000"/>
                <w:lang w:val="pt-BR"/>
              </w:rPr>
              <w:t>29</w:t>
            </w:r>
          </w:p>
        </w:tc>
      </w:tr>
      <w:tr w:rsidR="00641E09" w:rsidRPr="007C5F0C" w14:paraId="489D5DD2" w14:textId="77777777" w:rsidTr="00641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08A17E6F" w14:textId="77777777" w:rsidR="00641E09" w:rsidRPr="007C5F0C" w:rsidRDefault="00641E09" w:rsidP="00641E09">
            <w:pPr>
              <w:jc w:val="both"/>
              <w:rPr>
                <w:rFonts w:ascii="Calibri" w:hAnsi="Calibri" w:cs="Calibri"/>
                <w:b w:val="0"/>
                <w:color w:val="000000"/>
                <w:lang w:val="pt-BR"/>
              </w:rPr>
            </w:pPr>
          </w:p>
        </w:tc>
        <w:tc>
          <w:tcPr>
            <w:tcW w:w="1844" w:type="dxa"/>
            <w:vAlign w:val="center"/>
          </w:tcPr>
          <w:p w14:paraId="367C1AFA" w14:textId="3019B1F0" w:rsidR="00641E09" w:rsidRPr="00801FF0" w:rsidRDefault="00641E09" w:rsidP="00641E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</w:rPr>
            </w:pPr>
            <w:proofErr w:type="spellStart"/>
            <w:r w:rsidRPr="00757D6D">
              <w:rPr>
                <w:rFonts w:ascii="Calibri" w:hAnsi="Calibri" w:cs="Calibri"/>
                <w:color w:val="000000"/>
              </w:rPr>
              <w:t>Outras</w:t>
            </w:r>
            <w:proofErr w:type="spellEnd"/>
            <w:r w:rsidRPr="00757D6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7D6D">
              <w:rPr>
                <w:rFonts w:ascii="Calibri" w:hAnsi="Calibri" w:cs="Calibri"/>
                <w:color w:val="000000"/>
              </w:rPr>
              <w:t>Lavouras</w:t>
            </w:r>
            <w:proofErr w:type="spellEnd"/>
            <w:r w:rsidRPr="00757D6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7D6D">
              <w:rPr>
                <w:rFonts w:ascii="Calibri" w:hAnsi="Calibri" w:cs="Calibri"/>
                <w:color w:val="000000"/>
              </w:rPr>
              <w:t>Temporárias</w:t>
            </w:r>
            <w:proofErr w:type="spellEnd"/>
          </w:p>
        </w:tc>
        <w:tc>
          <w:tcPr>
            <w:tcW w:w="3868" w:type="dxa"/>
            <w:noWrap/>
            <w:vAlign w:val="center"/>
          </w:tcPr>
          <w:p w14:paraId="5223BA91" w14:textId="77777777" w:rsidR="00641E09" w:rsidRDefault="00641E09" w:rsidP="00641E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98" w:type="dxa"/>
            <w:noWrap/>
            <w:vAlign w:val="center"/>
          </w:tcPr>
          <w:p w14:paraId="3FB92D09" w14:textId="77777777" w:rsidR="00641E09" w:rsidRDefault="00641E09" w:rsidP="00641E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noWrap/>
          </w:tcPr>
          <w:p w14:paraId="3E017C60" w14:textId="1C934656" w:rsidR="00641E09" w:rsidRPr="00B6359F" w:rsidRDefault="00CD1498" w:rsidP="00641E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4.42</w:t>
            </w:r>
          </w:p>
        </w:tc>
        <w:tc>
          <w:tcPr>
            <w:tcW w:w="2477" w:type="dxa"/>
          </w:tcPr>
          <w:p w14:paraId="5A0D3B00" w14:textId="41776E32" w:rsidR="00641E09" w:rsidRPr="007C5F0C" w:rsidRDefault="00641E09" w:rsidP="00641E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t-BR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BR"/>
              </w:rPr>
              <w:t>IV Inventario de GEE</w:t>
            </w:r>
            <w:r w:rsidRPr="007A2C23">
              <w:rPr>
                <w:rFonts w:ascii="Calibri" w:eastAsia="Times New Roman" w:hAnsi="Calibri" w:cs="Times New Roman"/>
                <w:color w:val="000000"/>
                <w:lang w:val="pt-BR"/>
              </w:rPr>
              <w:t>. RR: UTMUTF</w:t>
            </w:r>
            <w:r>
              <w:rPr>
                <w:rFonts w:ascii="Calibri" w:eastAsia="Times New Roman" w:hAnsi="Calibri" w:cs="Times New Roman"/>
                <w:color w:val="000000"/>
                <w:lang w:val="pt-BR"/>
              </w:rPr>
              <w:t>,</w:t>
            </w:r>
            <w:r w:rsidRPr="007A2C23">
              <w:rPr>
                <w:rFonts w:ascii="Calibri" w:eastAsia="Times New Roman" w:hAnsi="Calibri" w:cs="Times New Roman"/>
                <w:color w:val="000000"/>
                <w:lang w:val="pt-BR"/>
              </w:rPr>
              <w:t xml:space="preserve"> Tabela </w:t>
            </w:r>
            <w:r>
              <w:rPr>
                <w:rFonts w:ascii="Calibri" w:eastAsia="Times New Roman" w:hAnsi="Calibri" w:cs="Times New Roman"/>
                <w:color w:val="000000"/>
                <w:lang w:val="pt-BR"/>
              </w:rPr>
              <w:t>29</w:t>
            </w:r>
          </w:p>
        </w:tc>
      </w:tr>
      <w:tr w:rsidR="00641E09" w:rsidRPr="007C5F0C" w14:paraId="2FFEFDF3" w14:textId="77777777" w:rsidTr="00641E09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7F9F02EC" w14:textId="77777777" w:rsidR="00641E09" w:rsidRPr="007C5F0C" w:rsidRDefault="00641E09" w:rsidP="00641E09">
            <w:pPr>
              <w:jc w:val="both"/>
              <w:rPr>
                <w:rFonts w:ascii="Calibri" w:hAnsi="Calibri" w:cs="Calibri"/>
                <w:color w:val="000000"/>
                <w:lang w:val="pt-BR"/>
              </w:rPr>
            </w:pPr>
          </w:p>
        </w:tc>
        <w:tc>
          <w:tcPr>
            <w:tcW w:w="1844" w:type="dxa"/>
            <w:vAlign w:val="center"/>
          </w:tcPr>
          <w:p w14:paraId="12401DEF" w14:textId="2A967E90" w:rsidR="00641E09" w:rsidRDefault="00641E09" w:rsidP="00641E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proofErr w:type="spellStart"/>
            <w:r w:rsidRPr="00757D6D">
              <w:rPr>
                <w:rFonts w:ascii="Calibri" w:hAnsi="Calibri" w:cs="Calibri"/>
                <w:color w:val="000000"/>
              </w:rPr>
              <w:t>Lavoura</w:t>
            </w:r>
            <w:proofErr w:type="spellEnd"/>
            <w:r w:rsidRPr="00757D6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7D6D">
              <w:rPr>
                <w:rFonts w:ascii="Calibri" w:hAnsi="Calibri" w:cs="Calibri"/>
                <w:color w:val="000000"/>
              </w:rPr>
              <w:t>Perene</w:t>
            </w:r>
            <w:proofErr w:type="spellEnd"/>
          </w:p>
        </w:tc>
        <w:tc>
          <w:tcPr>
            <w:tcW w:w="3868" w:type="dxa"/>
            <w:noWrap/>
            <w:vAlign w:val="center"/>
          </w:tcPr>
          <w:p w14:paraId="40C91997" w14:textId="77777777" w:rsidR="00641E09" w:rsidRDefault="00641E09" w:rsidP="00641E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98" w:type="dxa"/>
            <w:noWrap/>
            <w:vAlign w:val="center"/>
          </w:tcPr>
          <w:p w14:paraId="7DE77F6E" w14:textId="77777777" w:rsidR="00641E09" w:rsidRDefault="00641E09" w:rsidP="00641E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noWrap/>
          </w:tcPr>
          <w:p w14:paraId="3510AD67" w14:textId="58FE1A4C" w:rsidR="00641E09" w:rsidRDefault="00CD1498" w:rsidP="00641E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4.42</w:t>
            </w:r>
          </w:p>
        </w:tc>
        <w:tc>
          <w:tcPr>
            <w:tcW w:w="2477" w:type="dxa"/>
          </w:tcPr>
          <w:p w14:paraId="5BD9076E" w14:textId="1DCB5CC4" w:rsidR="00641E09" w:rsidRPr="003A50AE" w:rsidRDefault="00641E09" w:rsidP="00641E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BR"/>
              </w:rPr>
              <w:t>IV Inventario de GEE</w:t>
            </w:r>
            <w:r w:rsidRPr="007A2C23">
              <w:rPr>
                <w:rFonts w:ascii="Calibri" w:eastAsia="Times New Roman" w:hAnsi="Calibri" w:cs="Times New Roman"/>
                <w:color w:val="000000"/>
                <w:lang w:val="pt-BR"/>
              </w:rPr>
              <w:t>. RR: UTMUTF</w:t>
            </w:r>
            <w:r>
              <w:rPr>
                <w:rFonts w:ascii="Calibri" w:eastAsia="Times New Roman" w:hAnsi="Calibri" w:cs="Times New Roman"/>
                <w:color w:val="000000"/>
                <w:lang w:val="pt-BR"/>
              </w:rPr>
              <w:t>,</w:t>
            </w:r>
            <w:r w:rsidRPr="007A2C23">
              <w:rPr>
                <w:rFonts w:ascii="Calibri" w:eastAsia="Times New Roman" w:hAnsi="Calibri" w:cs="Times New Roman"/>
                <w:color w:val="000000"/>
                <w:lang w:val="pt-BR"/>
              </w:rPr>
              <w:t xml:space="preserve"> Tabela </w:t>
            </w:r>
            <w:r>
              <w:rPr>
                <w:rFonts w:ascii="Calibri" w:eastAsia="Times New Roman" w:hAnsi="Calibri" w:cs="Times New Roman"/>
                <w:color w:val="000000"/>
                <w:lang w:val="pt-BR"/>
              </w:rPr>
              <w:t>29</w:t>
            </w:r>
          </w:p>
        </w:tc>
      </w:tr>
      <w:tr w:rsidR="00CD1498" w:rsidRPr="007C5F0C" w14:paraId="4BF6A283" w14:textId="77777777" w:rsidTr="00641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 w:val="restart"/>
            <w:vAlign w:val="center"/>
          </w:tcPr>
          <w:p w14:paraId="58250D91" w14:textId="6AB6026F" w:rsidR="00CD1498" w:rsidRDefault="00CD1498" w:rsidP="00CD1498">
            <w:pPr>
              <w:jc w:val="both"/>
              <w:rPr>
                <w:rFonts w:ascii="Calibri" w:hAnsi="Calibri" w:cs="Calibri"/>
                <w:color w:val="000000"/>
              </w:rPr>
            </w:pPr>
            <w:proofErr w:type="spellStart"/>
            <w:r w:rsidRPr="004D5B52">
              <w:rPr>
                <w:rFonts w:ascii="Calibri" w:hAnsi="Calibri" w:cs="Calibri"/>
                <w:b w:val="0"/>
                <w:color w:val="000000"/>
              </w:rPr>
              <w:t>Formação</w:t>
            </w:r>
            <w:proofErr w:type="spellEnd"/>
            <w:r>
              <w:rPr>
                <w:rFonts w:ascii="Calibri" w:hAnsi="Calibri" w:cs="Calibri"/>
                <w:b w:val="0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 w:val="0"/>
                <w:color w:val="000000"/>
              </w:rPr>
              <w:t>Campestre</w:t>
            </w:r>
            <w:proofErr w:type="spellEnd"/>
          </w:p>
        </w:tc>
        <w:tc>
          <w:tcPr>
            <w:tcW w:w="1844" w:type="dxa"/>
            <w:vAlign w:val="center"/>
          </w:tcPr>
          <w:p w14:paraId="20864A12" w14:textId="2A2316E1" w:rsidR="00CD1498" w:rsidRPr="00801FF0" w:rsidRDefault="00CD1498" w:rsidP="00CD14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Pastagem</w:t>
            </w:r>
            <w:proofErr w:type="spellEnd"/>
          </w:p>
        </w:tc>
        <w:tc>
          <w:tcPr>
            <w:tcW w:w="3868" w:type="dxa"/>
            <w:noWrap/>
            <w:vAlign w:val="center"/>
          </w:tcPr>
          <w:p w14:paraId="5AD45893" w14:textId="77777777" w:rsidR="00CD1498" w:rsidRDefault="00CD1498" w:rsidP="00CD14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98" w:type="dxa"/>
            <w:noWrap/>
            <w:vAlign w:val="center"/>
          </w:tcPr>
          <w:p w14:paraId="1F56D68C" w14:textId="77777777" w:rsidR="00CD1498" w:rsidRDefault="00CD1498" w:rsidP="00CD14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noWrap/>
          </w:tcPr>
          <w:p w14:paraId="617175D9" w14:textId="260564E2" w:rsidR="00CD1498" w:rsidRPr="00B6359F" w:rsidRDefault="00CD1498" w:rsidP="00CD14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5.085</w:t>
            </w:r>
          </w:p>
        </w:tc>
        <w:tc>
          <w:tcPr>
            <w:tcW w:w="2477" w:type="dxa"/>
          </w:tcPr>
          <w:p w14:paraId="58C3007D" w14:textId="6A520412" w:rsidR="00CD1498" w:rsidRPr="003A50AE" w:rsidRDefault="00CD1498" w:rsidP="00CD14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t-BR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BR"/>
              </w:rPr>
              <w:t>IV Inventario de GEE</w:t>
            </w:r>
            <w:r w:rsidRPr="007A2C23">
              <w:rPr>
                <w:rFonts w:ascii="Calibri" w:eastAsia="Times New Roman" w:hAnsi="Calibri" w:cs="Times New Roman"/>
                <w:color w:val="000000"/>
                <w:lang w:val="pt-BR"/>
              </w:rPr>
              <w:t>. RR: UTMUTF</w:t>
            </w:r>
            <w:r>
              <w:rPr>
                <w:rFonts w:ascii="Calibri" w:eastAsia="Times New Roman" w:hAnsi="Calibri" w:cs="Times New Roman"/>
                <w:color w:val="000000"/>
                <w:lang w:val="pt-BR"/>
              </w:rPr>
              <w:t>,</w:t>
            </w:r>
            <w:r w:rsidRPr="007A2C23">
              <w:rPr>
                <w:rFonts w:ascii="Calibri" w:eastAsia="Times New Roman" w:hAnsi="Calibri" w:cs="Times New Roman"/>
                <w:color w:val="000000"/>
                <w:lang w:val="pt-BR"/>
              </w:rPr>
              <w:t xml:space="preserve"> Tabela </w:t>
            </w:r>
            <w:r>
              <w:rPr>
                <w:rFonts w:ascii="Calibri" w:eastAsia="Times New Roman" w:hAnsi="Calibri" w:cs="Times New Roman"/>
                <w:color w:val="000000"/>
                <w:lang w:val="pt-BR"/>
              </w:rPr>
              <w:t>29</w:t>
            </w:r>
          </w:p>
        </w:tc>
      </w:tr>
      <w:tr w:rsidR="00CD1498" w:rsidRPr="007C5F0C" w14:paraId="56F923E9" w14:textId="77777777" w:rsidTr="00641E09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4540D7F0" w14:textId="77777777" w:rsidR="00CD1498" w:rsidRPr="007C5F0C" w:rsidRDefault="00CD1498" w:rsidP="00CD1498">
            <w:pPr>
              <w:jc w:val="both"/>
              <w:rPr>
                <w:rFonts w:ascii="Calibri" w:hAnsi="Calibri" w:cs="Calibri"/>
                <w:color w:val="000000"/>
                <w:lang w:val="pt-BR"/>
              </w:rPr>
            </w:pPr>
          </w:p>
        </w:tc>
        <w:tc>
          <w:tcPr>
            <w:tcW w:w="1844" w:type="dxa"/>
            <w:vAlign w:val="center"/>
          </w:tcPr>
          <w:p w14:paraId="63A8F47E" w14:textId="488C72E6" w:rsidR="00CD1498" w:rsidRDefault="00CD1498" w:rsidP="00CD149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proofErr w:type="spellStart"/>
            <w:r w:rsidRPr="004D5B52">
              <w:rPr>
                <w:rFonts w:ascii="Calibri" w:hAnsi="Calibri" w:cs="Calibri"/>
                <w:color w:val="000000"/>
              </w:rPr>
              <w:t>Formação</w:t>
            </w:r>
            <w:proofErr w:type="spellEnd"/>
            <w:r w:rsidRPr="004D5B52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4D5B52">
              <w:rPr>
                <w:rFonts w:ascii="Calibri" w:hAnsi="Calibri" w:cs="Calibri"/>
                <w:color w:val="000000"/>
              </w:rPr>
              <w:t>Campestre</w:t>
            </w:r>
            <w:proofErr w:type="spellEnd"/>
          </w:p>
        </w:tc>
        <w:tc>
          <w:tcPr>
            <w:tcW w:w="3868" w:type="dxa"/>
            <w:noWrap/>
            <w:vAlign w:val="center"/>
          </w:tcPr>
          <w:p w14:paraId="63B86B99" w14:textId="77777777" w:rsidR="00CD1498" w:rsidRDefault="00CD1498" w:rsidP="00CD149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98" w:type="dxa"/>
            <w:noWrap/>
            <w:vAlign w:val="center"/>
          </w:tcPr>
          <w:p w14:paraId="3504C704" w14:textId="77777777" w:rsidR="00CD1498" w:rsidRDefault="00CD1498" w:rsidP="00CD149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noWrap/>
          </w:tcPr>
          <w:p w14:paraId="1353B6A7" w14:textId="66C5ABAC" w:rsidR="00CD1498" w:rsidRDefault="00CD1498" w:rsidP="00CD149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5.085</w:t>
            </w:r>
          </w:p>
        </w:tc>
        <w:tc>
          <w:tcPr>
            <w:tcW w:w="2477" w:type="dxa"/>
          </w:tcPr>
          <w:p w14:paraId="0D92E21D" w14:textId="67732551" w:rsidR="00CD1498" w:rsidRPr="003A50AE" w:rsidRDefault="00CD1498" w:rsidP="00CD149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BR"/>
              </w:rPr>
              <w:t>IV Inventario de GEE</w:t>
            </w:r>
            <w:r w:rsidRPr="007A2C23">
              <w:rPr>
                <w:rFonts w:ascii="Calibri" w:eastAsia="Times New Roman" w:hAnsi="Calibri" w:cs="Times New Roman"/>
                <w:color w:val="000000"/>
                <w:lang w:val="pt-BR"/>
              </w:rPr>
              <w:t>. RR: UTMUTF</w:t>
            </w:r>
            <w:r>
              <w:rPr>
                <w:rFonts w:ascii="Calibri" w:eastAsia="Times New Roman" w:hAnsi="Calibri" w:cs="Times New Roman"/>
                <w:color w:val="000000"/>
                <w:lang w:val="pt-BR"/>
              </w:rPr>
              <w:t>,</w:t>
            </w:r>
            <w:r w:rsidRPr="007A2C23">
              <w:rPr>
                <w:rFonts w:ascii="Calibri" w:eastAsia="Times New Roman" w:hAnsi="Calibri" w:cs="Times New Roman"/>
                <w:color w:val="000000"/>
                <w:lang w:val="pt-BR"/>
              </w:rPr>
              <w:t xml:space="preserve"> Tabela </w:t>
            </w:r>
            <w:r>
              <w:rPr>
                <w:rFonts w:ascii="Calibri" w:eastAsia="Times New Roman" w:hAnsi="Calibri" w:cs="Times New Roman"/>
                <w:color w:val="000000"/>
                <w:lang w:val="pt-BR"/>
              </w:rPr>
              <w:t>29</w:t>
            </w:r>
          </w:p>
        </w:tc>
      </w:tr>
      <w:tr w:rsidR="00CD1498" w:rsidRPr="007C5F0C" w14:paraId="00BC4B0E" w14:textId="77777777" w:rsidTr="00641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Merge/>
            <w:vAlign w:val="center"/>
          </w:tcPr>
          <w:p w14:paraId="7F430CC2" w14:textId="77777777" w:rsidR="00CD1498" w:rsidRPr="007C5F0C" w:rsidRDefault="00CD1498" w:rsidP="00CD1498">
            <w:pPr>
              <w:jc w:val="both"/>
              <w:rPr>
                <w:rFonts w:ascii="Calibri" w:hAnsi="Calibri" w:cs="Calibri"/>
                <w:color w:val="000000"/>
                <w:lang w:val="pt-BR"/>
              </w:rPr>
            </w:pPr>
          </w:p>
        </w:tc>
        <w:tc>
          <w:tcPr>
            <w:tcW w:w="1844" w:type="dxa"/>
            <w:vAlign w:val="center"/>
          </w:tcPr>
          <w:p w14:paraId="4A4D7A38" w14:textId="255BE8E9" w:rsidR="00CD1498" w:rsidRPr="004D5B52" w:rsidRDefault="00CD1498" w:rsidP="00CD14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 w:rsidRPr="004D5B52">
              <w:rPr>
                <w:rFonts w:ascii="Calibri" w:hAnsi="Calibri" w:cs="Calibri"/>
                <w:color w:val="000000"/>
                <w:lang w:val="pt-BR"/>
              </w:rPr>
              <w:t>Mosaico de Agricultura e Pastagem</w:t>
            </w:r>
          </w:p>
        </w:tc>
        <w:tc>
          <w:tcPr>
            <w:tcW w:w="3868" w:type="dxa"/>
            <w:noWrap/>
            <w:vAlign w:val="center"/>
          </w:tcPr>
          <w:p w14:paraId="1956870B" w14:textId="77777777" w:rsidR="00CD1498" w:rsidRPr="004D5B52" w:rsidRDefault="00CD1498" w:rsidP="00CD14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</w:p>
        </w:tc>
        <w:tc>
          <w:tcPr>
            <w:tcW w:w="1498" w:type="dxa"/>
            <w:noWrap/>
            <w:vAlign w:val="center"/>
          </w:tcPr>
          <w:p w14:paraId="27877C87" w14:textId="77777777" w:rsidR="00CD1498" w:rsidRPr="004D5B52" w:rsidRDefault="00CD1498" w:rsidP="00CD14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</w:p>
        </w:tc>
        <w:tc>
          <w:tcPr>
            <w:tcW w:w="992" w:type="dxa"/>
            <w:noWrap/>
          </w:tcPr>
          <w:p w14:paraId="13C0FE1E" w14:textId="5BED75FC" w:rsidR="00CD1498" w:rsidRPr="004D5B52" w:rsidRDefault="00CD1498" w:rsidP="00CD14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t-BR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5.085</w:t>
            </w:r>
          </w:p>
        </w:tc>
        <w:tc>
          <w:tcPr>
            <w:tcW w:w="2477" w:type="dxa"/>
          </w:tcPr>
          <w:p w14:paraId="6DE18BC7" w14:textId="476B9228" w:rsidR="00CD1498" w:rsidRPr="003A50AE" w:rsidRDefault="00CD1498" w:rsidP="00CD14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pt-BR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BR"/>
              </w:rPr>
              <w:t>IV Inventario de GEE</w:t>
            </w:r>
            <w:r w:rsidRPr="007A2C23">
              <w:rPr>
                <w:rFonts w:ascii="Calibri" w:eastAsia="Times New Roman" w:hAnsi="Calibri" w:cs="Times New Roman"/>
                <w:color w:val="000000"/>
                <w:lang w:val="pt-BR"/>
              </w:rPr>
              <w:t>. RR: UTMUTF</w:t>
            </w:r>
            <w:r>
              <w:rPr>
                <w:rFonts w:ascii="Calibri" w:eastAsia="Times New Roman" w:hAnsi="Calibri" w:cs="Times New Roman"/>
                <w:color w:val="000000"/>
                <w:lang w:val="pt-BR"/>
              </w:rPr>
              <w:t>,</w:t>
            </w:r>
            <w:r w:rsidRPr="007A2C23">
              <w:rPr>
                <w:rFonts w:ascii="Calibri" w:eastAsia="Times New Roman" w:hAnsi="Calibri" w:cs="Times New Roman"/>
                <w:color w:val="000000"/>
                <w:lang w:val="pt-BR"/>
              </w:rPr>
              <w:t xml:space="preserve"> Tabela </w:t>
            </w:r>
            <w:r>
              <w:rPr>
                <w:rFonts w:ascii="Calibri" w:eastAsia="Times New Roman" w:hAnsi="Calibri" w:cs="Times New Roman"/>
                <w:color w:val="000000"/>
                <w:lang w:val="pt-BR"/>
              </w:rPr>
              <w:t>29</w:t>
            </w:r>
          </w:p>
        </w:tc>
      </w:tr>
      <w:tr w:rsidR="002559B8" w:rsidRPr="00B6359F" w14:paraId="730FBB0B" w14:textId="77777777" w:rsidTr="00641E09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Align w:val="center"/>
          </w:tcPr>
          <w:p w14:paraId="4FC55308" w14:textId="1DCC808A" w:rsidR="002559B8" w:rsidRPr="00D77763" w:rsidRDefault="00D77763" w:rsidP="002103AD">
            <w:pPr>
              <w:jc w:val="both"/>
              <w:rPr>
                <w:rFonts w:ascii="Calibri" w:hAnsi="Calibri" w:cs="Calibri"/>
                <w:b w:val="0"/>
                <w:color w:val="000000"/>
              </w:rPr>
            </w:pPr>
            <w:proofErr w:type="spellStart"/>
            <w:r w:rsidRPr="00D77763">
              <w:rPr>
                <w:rFonts w:ascii="Calibri" w:hAnsi="Calibri" w:cs="Calibri"/>
                <w:b w:val="0"/>
                <w:color w:val="000000"/>
              </w:rPr>
              <w:t>Área</w:t>
            </w:r>
            <w:proofErr w:type="spellEnd"/>
            <w:r w:rsidRPr="00D77763">
              <w:rPr>
                <w:rFonts w:ascii="Calibri" w:hAnsi="Calibri" w:cs="Calibri"/>
                <w:b w:val="0"/>
                <w:color w:val="000000"/>
              </w:rPr>
              <w:t xml:space="preserve"> </w:t>
            </w:r>
            <w:proofErr w:type="spellStart"/>
            <w:r w:rsidRPr="00D77763">
              <w:rPr>
                <w:rFonts w:ascii="Calibri" w:hAnsi="Calibri" w:cs="Calibri"/>
                <w:b w:val="0"/>
                <w:color w:val="000000"/>
              </w:rPr>
              <w:t>edificada</w:t>
            </w:r>
            <w:proofErr w:type="spellEnd"/>
          </w:p>
        </w:tc>
        <w:tc>
          <w:tcPr>
            <w:tcW w:w="1844" w:type="dxa"/>
            <w:vAlign w:val="center"/>
          </w:tcPr>
          <w:p w14:paraId="600F32C5" w14:textId="77777777" w:rsidR="002559B8" w:rsidRPr="00801FF0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868" w:type="dxa"/>
            <w:noWrap/>
            <w:vAlign w:val="center"/>
          </w:tcPr>
          <w:p w14:paraId="421B99BD" w14:textId="77777777" w:rsidR="002559B8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98" w:type="dxa"/>
            <w:noWrap/>
            <w:vAlign w:val="center"/>
          </w:tcPr>
          <w:p w14:paraId="37E5D043" w14:textId="77777777" w:rsidR="002559B8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noWrap/>
          </w:tcPr>
          <w:p w14:paraId="067363B3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477" w:type="dxa"/>
          </w:tcPr>
          <w:p w14:paraId="13C476D6" w14:textId="77777777" w:rsidR="002559B8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8505D">
              <w:rPr>
                <w:rFonts w:ascii="Calibri" w:eastAsia="Times New Roman" w:hAnsi="Calibri" w:cs="Times New Roman"/>
                <w:color w:val="000000"/>
              </w:rPr>
              <w:t>CETESB (2016)</w:t>
            </w:r>
          </w:p>
        </w:tc>
      </w:tr>
      <w:tr w:rsidR="002559B8" w:rsidRPr="00B6359F" w14:paraId="6F0FA69E" w14:textId="77777777" w:rsidTr="00641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Align w:val="center"/>
          </w:tcPr>
          <w:p w14:paraId="3D8783E4" w14:textId="77777777" w:rsidR="002559B8" w:rsidRPr="00D77763" w:rsidRDefault="002559B8" w:rsidP="002103AD">
            <w:pPr>
              <w:jc w:val="both"/>
              <w:rPr>
                <w:rFonts w:ascii="Calibri" w:hAnsi="Calibri" w:cs="Calibri"/>
                <w:b w:val="0"/>
                <w:color w:val="000000"/>
              </w:rPr>
            </w:pPr>
            <w:proofErr w:type="spellStart"/>
            <w:r w:rsidRPr="00D77763">
              <w:rPr>
                <w:rFonts w:ascii="Calibri" w:hAnsi="Calibri" w:cs="Calibri"/>
                <w:b w:val="0"/>
                <w:color w:val="000000"/>
              </w:rPr>
              <w:lastRenderedPageBreak/>
              <w:t>Áreas</w:t>
            </w:r>
            <w:proofErr w:type="spellEnd"/>
            <w:r w:rsidRPr="00D77763">
              <w:rPr>
                <w:rFonts w:ascii="Calibri" w:hAnsi="Calibri" w:cs="Calibri"/>
                <w:b w:val="0"/>
                <w:color w:val="000000"/>
              </w:rPr>
              <w:t xml:space="preserve"> </w:t>
            </w:r>
            <w:proofErr w:type="spellStart"/>
            <w:r w:rsidRPr="00D77763">
              <w:rPr>
                <w:rFonts w:ascii="Calibri" w:hAnsi="Calibri" w:cs="Calibri"/>
                <w:b w:val="0"/>
                <w:color w:val="000000"/>
              </w:rPr>
              <w:t>alagadas</w:t>
            </w:r>
            <w:proofErr w:type="spellEnd"/>
          </w:p>
        </w:tc>
        <w:tc>
          <w:tcPr>
            <w:tcW w:w="1844" w:type="dxa"/>
            <w:vAlign w:val="center"/>
          </w:tcPr>
          <w:p w14:paraId="12DB9514" w14:textId="77777777" w:rsidR="002559B8" w:rsidRPr="00801FF0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868" w:type="dxa"/>
            <w:noWrap/>
            <w:vAlign w:val="center"/>
          </w:tcPr>
          <w:p w14:paraId="0CF2CC2D" w14:textId="77777777" w:rsidR="002559B8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98" w:type="dxa"/>
            <w:noWrap/>
            <w:vAlign w:val="center"/>
          </w:tcPr>
          <w:p w14:paraId="598F9EC2" w14:textId="77777777" w:rsidR="002559B8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noWrap/>
          </w:tcPr>
          <w:p w14:paraId="75CA4C18" w14:textId="77777777" w:rsidR="002559B8" w:rsidRPr="00B6359F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477" w:type="dxa"/>
          </w:tcPr>
          <w:p w14:paraId="6CD629D4" w14:textId="77777777" w:rsidR="002559B8" w:rsidRDefault="002559B8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8505D">
              <w:rPr>
                <w:rFonts w:ascii="Calibri" w:eastAsia="Times New Roman" w:hAnsi="Calibri" w:cs="Times New Roman"/>
                <w:color w:val="000000"/>
              </w:rPr>
              <w:t>CETESB (2016)</w:t>
            </w:r>
          </w:p>
        </w:tc>
      </w:tr>
      <w:tr w:rsidR="002559B8" w:rsidRPr="00B6359F" w14:paraId="7E944C82" w14:textId="77777777" w:rsidTr="00641E09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6" w:type="dxa"/>
            <w:vAlign w:val="center"/>
          </w:tcPr>
          <w:p w14:paraId="4677FE4C" w14:textId="77777777" w:rsidR="002559B8" w:rsidRDefault="002559B8" w:rsidP="002103AD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 w:val="0"/>
                <w:color w:val="000000"/>
              </w:rPr>
              <w:t>Outros</w:t>
            </w:r>
          </w:p>
        </w:tc>
        <w:tc>
          <w:tcPr>
            <w:tcW w:w="1844" w:type="dxa"/>
            <w:vAlign w:val="center"/>
          </w:tcPr>
          <w:p w14:paraId="0463900A" w14:textId="77777777" w:rsidR="002559B8" w:rsidRPr="00801FF0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868" w:type="dxa"/>
            <w:noWrap/>
            <w:vAlign w:val="center"/>
          </w:tcPr>
          <w:p w14:paraId="7A998EB8" w14:textId="77777777" w:rsidR="002559B8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98" w:type="dxa"/>
            <w:noWrap/>
            <w:vAlign w:val="center"/>
          </w:tcPr>
          <w:p w14:paraId="700526CC" w14:textId="77777777" w:rsidR="002559B8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noWrap/>
          </w:tcPr>
          <w:p w14:paraId="10AE46FD" w14:textId="77777777" w:rsidR="002559B8" w:rsidRPr="00B6359F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477" w:type="dxa"/>
          </w:tcPr>
          <w:p w14:paraId="08E61A86" w14:textId="77777777" w:rsidR="002559B8" w:rsidRDefault="002559B8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88505D">
              <w:rPr>
                <w:rFonts w:ascii="Calibri" w:eastAsia="Times New Roman" w:hAnsi="Calibri" w:cs="Times New Roman"/>
                <w:color w:val="000000"/>
              </w:rPr>
              <w:t>CETESB (2016)</w:t>
            </w:r>
          </w:p>
        </w:tc>
      </w:tr>
    </w:tbl>
    <w:p w14:paraId="1A482285" w14:textId="77777777" w:rsidR="002559B8" w:rsidRDefault="002559B8" w:rsidP="002103AD">
      <w:pPr>
        <w:jc w:val="both"/>
        <w:sectPr w:rsidR="002559B8" w:rsidSect="003A62B1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55047927" w14:textId="28A9991D" w:rsidR="00274104" w:rsidRDefault="003A62B1" w:rsidP="002103AD">
      <w:pPr>
        <w:jc w:val="both"/>
        <w:rPr>
          <w:lang w:val="pt-BR"/>
        </w:rPr>
      </w:pPr>
      <w:r w:rsidRPr="003A62B1">
        <w:rPr>
          <w:lang w:val="pt-BR"/>
        </w:rPr>
        <w:lastRenderedPageBreak/>
        <w:t>Para avaliar o aumento d</w:t>
      </w:r>
      <w:r>
        <w:rPr>
          <w:lang w:val="pt-BR"/>
        </w:rPr>
        <w:t>os estoques de carbono foram utilizad</w:t>
      </w:r>
      <w:r w:rsidR="00911C5D">
        <w:rPr>
          <w:lang w:val="pt-BR"/>
        </w:rPr>
        <w:t>a</w:t>
      </w:r>
      <w:r>
        <w:rPr>
          <w:lang w:val="pt-BR"/>
        </w:rPr>
        <w:t>s taxas de remoção de biomassa</w:t>
      </w:r>
      <w:r w:rsidR="00274104">
        <w:rPr>
          <w:lang w:val="pt-BR"/>
        </w:rPr>
        <w:t>,</w:t>
      </w:r>
      <w:r>
        <w:rPr>
          <w:lang w:val="pt-BR"/>
        </w:rPr>
        <w:t xml:space="preserve"> conforme o III Inventário Estadual de Emissões de GEE do setor Floresta e mudanças do uso da terra e do III Inventário Nacional de GEE (tabela 2). </w:t>
      </w:r>
      <w:r w:rsidRPr="003A62B1">
        <w:rPr>
          <w:lang w:val="pt-BR"/>
        </w:rPr>
        <w:t>As taxas de remoção não foram detalhadas em função d</w:t>
      </w:r>
      <w:r>
        <w:rPr>
          <w:lang w:val="pt-BR"/>
        </w:rPr>
        <w:t xml:space="preserve">e tipos </w:t>
      </w:r>
      <w:r w:rsidR="00545016">
        <w:rPr>
          <w:lang w:val="pt-BR"/>
        </w:rPr>
        <w:t>florestais,</w:t>
      </w:r>
      <w:r w:rsidR="00D01667">
        <w:rPr>
          <w:lang w:val="pt-BR"/>
        </w:rPr>
        <w:t xml:space="preserve"> mas em função do bioma e </w:t>
      </w:r>
      <w:r w:rsidR="00545016">
        <w:rPr>
          <w:lang w:val="pt-BR"/>
        </w:rPr>
        <w:t xml:space="preserve">estágio </w:t>
      </w:r>
      <w:proofErr w:type="spellStart"/>
      <w:r w:rsidR="00545016">
        <w:rPr>
          <w:lang w:val="pt-BR"/>
        </w:rPr>
        <w:t>sucessional</w:t>
      </w:r>
      <w:proofErr w:type="spellEnd"/>
      <w:r w:rsidR="00545016">
        <w:rPr>
          <w:lang w:val="pt-BR"/>
        </w:rPr>
        <w:t xml:space="preserve">. </w:t>
      </w:r>
      <w:r w:rsidR="00545016" w:rsidRPr="00545016">
        <w:rPr>
          <w:lang w:val="pt-BR"/>
        </w:rPr>
        <w:t>Por exemplo, a remoção de GEE da fitofisionomia restinga f</w:t>
      </w:r>
      <w:r w:rsidR="00545016">
        <w:rPr>
          <w:lang w:val="pt-BR"/>
        </w:rPr>
        <w:t xml:space="preserve">oi estimada utilizando taxas obtidas para o tipo de vegetação de campo no Bioma Mata Atlântica. </w:t>
      </w:r>
    </w:p>
    <w:p w14:paraId="39A3427C" w14:textId="3DADF107" w:rsidR="00E56579" w:rsidRDefault="00CD6C39" w:rsidP="002103AD">
      <w:pPr>
        <w:jc w:val="both"/>
        <w:rPr>
          <w:lang w:val="pt-BR"/>
        </w:rPr>
      </w:pPr>
      <w:r w:rsidRPr="00CD6C39">
        <w:rPr>
          <w:lang w:val="pt-BR"/>
        </w:rPr>
        <w:t>Valores obtidos na literatura foram utilizados na ausência de d</w:t>
      </w:r>
      <w:r>
        <w:rPr>
          <w:lang w:val="pt-BR"/>
        </w:rPr>
        <w:t xml:space="preserve">ados do III Inventário Estadual de Emissões e Remoções de GEE do setor de Floresta e mudanças do uso da terra e do III Inventário Nacional de Emissões de GEE, </w:t>
      </w:r>
      <w:r w:rsidRPr="00567C88">
        <w:rPr>
          <w:lang w:val="pt-BR"/>
        </w:rPr>
        <w:t>como por exemplo para a fitofisionomia do mangue, a qual a taxa de remoção foi compilada do IPCC (2013) suplemento relacionada a áreas alagadas do documento IPCC (2006), tabela 4.4</w:t>
      </w:r>
      <w:r w:rsidRPr="00567C88">
        <w:rPr>
          <w:rStyle w:val="FootnoteReference"/>
          <w:lang w:val="pt-BR"/>
        </w:rPr>
        <w:footnoteReference w:id="4"/>
      </w:r>
      <w:r w:rsidRPr="00567C88">
        <w:rPr>
          <w:lang w:val="pt-BR"/>
        </w:rPr>
        <w:t>, valores para regiões tropicais úmidas.</w:t>
      </w:r>
    </w:p>
    <w:p w14:paraId="770915F6" w14:textId="77777777" w:rsidR="00A252ED" w:rsidRDefault="00A252ED" w:rsidP="002103AD">
      <w:pPr>
        <w:jc w:val="both"/>
        <w:rPr>
          <w:lang w:val="pt-BR"/>
        </w:rPr>
      </w:pPr>
    </w:p>
    <w:p w14:paraId="2662283A" w14:textId="6B2EA1FB" w:rsidR="00093632" w:rsidRDefault="00093632" w:rsidP="002103AD">
      <w:pPr>
        <w:jc w:val="both"/>
        <w:rPr>
          <w:lang w:val="pt-BR"/>
        </w:rPr>
        <w:sectPr w:rsidR="00093632" w:rsidSect="002559B8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05EF456A" w14:textId="1347039C" w:rsidR="00705CCE" w:rsidRDefault="00705CCE" w:rsidP="002103AD">
      <w:pPr>
        <w:jc w:val="both"/>
        <w:rPr>
          <w:lang w:val="pt-BR"/>
        </w:rPr>
      </w:pPr>
    </w:p>
    <w:p w14:paraId="4F3B9203" w14:textId="6BACAC82" w:rsidR="00E56579" w:rsidRPr="00B12BEA" w:rsidRDefault="00E56579" w:rsidP="002103AD">
      <w:pPr>
        <w:pStyle w:val="Caption"/>
        <w:jc w:val="both"/>
        <w:rPr>
          <w:lang w:val="pt-BR"/>
        </w:rPr>
      </w:pPr>
      <w:bookmarkStart w:id="4" w:name="_Ref23599165"/>
      <w:r w:rsidRPr="00B12BEA">
        <w:rPr>
          <w:lang w:val="pt-BR"/>
        </w:rPr>
        <w:t>Tab</w:t>
      </w:r>
      <w:r w:rsidR="00B12BEA" w:rsidRPr="00B12BEA">
        <w:rPr>
          <w:lang w:val="pt-BR"/>
        </w:rPr>
        <w:t>ela</w:t>
      </w:r>
      <w:r w:rsidRPr="00B12BEA">
        <w:rPr>
          <w:lang w:val="pt-BR"/>
        </w:rPr>
        <w:t xml:space="preserve"> </w:t>
      </w:r>
      <w:r w:rsidRPr="00B12BEA">
        <w:rPr>
          <w:noProof/>
          <w:lang w:val="pt-BR"/>
        </w:rPr>
        <w:t>2</w:t>
      </w:r>
      <w:bookmarkEnd w:id="4"/>
      <w:r w:rsidRPr="00B12BEA">
        <w:rPr>
          <w:lang w:val="pt-BR"/>
        </w:rPr>
        <w:t xml:space="preserve">. </w:t>
      </w:r>
      <w:r w:rsidR="00B12BEA" w:rsidRPr="00B12BEA">
        <w:rPr>
          <w:lang w:val="pt-BR"/>
        </w:rPr>
        <w:t>Taxas de remoção para diferentes tipos de</w:t>
      </w:r>
      <w:r w:rsidR="00B12BEA">
        <w:rPr>
          <w:lang w:val="pt-BR"/>
        </w:rPr>
        <w:t xml:space="preserve"> uso da terra.</w:t>
      </w:r>
      <w:r w:rsidRPr="00B12BEA">
        <w:rPr>
          <w:lang w:val="pt-BR"/>
        </w:rPr>
        <w:t xml:space="preserve"> </w:t>
      </w:r>
    </w:p>
    <w:tbl>
      <w:tblPr>
        <w:tblStyle w:val="ListTable3-Accent1"/>
        <w:tblW w:w="12950" w:type="dxa"/>
        <w:tblLook w:val="04A0" w:firstRow="1" w:lastRow="0" w:firstColumn="1" w:lastColumn="0" w:noHBand="0" w:noVBand="1"/>
      </w:tblPr>
      <w:tblGrid>
        <w:gridCol w:w="2560"/>
        <w:gridCol w:w="2605"/>
        <w:gridCol w:w="2159"/>
        <w:gridCol w:w="2148"/>
        <w:gridCol w:w="3478"/>
      </w:tblGrid>
      <w:tr w:rsidR="00E56579" w:rsidRPr="0052431B" w14:paraId="44573442" w14:textId="77777777" w:rsidTr="00EC26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60" w:type="dxa"/>
            <w:vAlign w:val="center"/>
          </w:tcPr>
          <w:p w14:paraId="3B5D5BCD" w14:textId="0AEEF43C" w:rsidR="00E56579" w:rsidRPr="0052431B" w:rsidRDefault="00E56579" w:rsidP="002103AD">
            <w:pPr>
              <w:jc w:val="both"/>
              <w:rPr>
                <w:rFonts w:asciiTheme="majorHAnsi" w:eastAsia="Times New Roman" w:hAnsiTheme="majorHAnsi" w:cstheme="majorHAnsi"/>
              </w:rPr>
            </w:pPr>
            <w:r w:rsidRPr="0052431B">
              <w:rPr>
                <w:rFonts w:ascii="Calibri" w:eastAsia="Times New Roman" w:hAnsi="Calibri" w:cs="Times New Roman"/>
                <w:lang w:val="pt-BR"/>
              </w:rPr>
              <w:t xml:space="preserve">Uso </w:t>
            </w:r>
            <w:r w:rsidR="00E558DF">
              <w:rPr>
                <w:rFonts w:ascii="Calibri" w:eastAsia="Times New Roman" w:hAnsi="Calibri" w:cs="Times New Roman"/>
                <w:lang w:val="pt-BR"/>
              </w:rPr>
              <w:t>da terra</w:t>
            </w:r>
          </w:p>
        </w:tc>
        <w:tc>
          <w:tcPr>
            <w:tcW w:w="2605" w:type="dxa"/>
            <w:noWrap/>
            <w:vAlign w:val="center"/>
          </w:tcPr>
          <w:p w14:paraId="079791BB" w14:textId="77777777" w:rsidR="00E56579" w:rsidRPr="0052431B" w:rsidRDefault="00E56579" w:rsidP="002103A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</w:rPr>
            </w:pPr>
            <w:proofErr w:type="spellStart"/>
            <w:r>
              <w:rPr>
                <w:rFonts w:ascii="Calibri" w:eastAsia="Times New Roman" w:hAnsi="Calibri" w:cs="Times New Roman"/>
              </w:rPr>
              <w:t>Bioma</w:t>
            </w:r>
            <w:proofErr w:type="spellEnd"/>
          </w:p>
        </w:tc>
        <w:tc>
          <w:tcPr>
            <w:tcW w:w="2159" w:type="dxa"/>
            <w:noWrap/>
            <w:vAlign w:val="center"/>
          </w:tcPr>
          <w:p w14:paraId="5CBE66A2" w14:textId="77777777" w:rsidR="00E56579" w:rsidRPr="0052431B" w:rsidRDefault="00E56579" w:rsidP="002103A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pt-BR"/>
              </w:rPr>
            </w:pPr>
            <w:r>
              <w:rPr>
                <w:rFonts w:ascii="Calibri" w:eastAsia="Times New Roman" w:hAnsi="Calibri" w:cs="Times New Roman"/>
                <w:lang w:val="pt-BR"/>
              </w:rPr>
              <w:t>Tipo</w:t>
            </w:r>
          </w:p>
        </w:tc>
        <w:tc>
          <w:tcPr>
            <w:tcW w:w="2148" w:type="dxa"/>
            <w:vAlign w:val="center"/>
          </w:tcPr>
          <w:p w14:paraId="0F743B6F" w14:textId="77777777" w:rsidR="00E56579" w:rsidRPr="0052431B" w:rsidRDefault="00E56579" w:rsidP="002103AD">
            <w:pPr>
              <w:ind w:left="435" w:hanging="435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pt-BR"/>
              </w:rPr>
            </w:pPr>
            <w:r>
              <w:rPr>
                <w:rFonts w:ascii="Calibri" w:eastAsia="Times New Roman" w:hAnsi="Calibri" w:cs="Times New Roman"/>
                <w:lang w:val="pt-BR"/>
              </w:rPr>
              <w:t>Taxa de remo</w:t>
            </w:r>
            <w:r>
              <w:rPr>
                <w:rFonts w:ascii="Calibri" w:eastAsia="Times New Roman" w:hAnsi="Calibri" w:cs="Calibri"/>
                <w:lang w:val="pt-BR"/>
              </w:rPr>
              <w:t>çã</w:t>
            </w:r>
            <w:r>
              <w:rPr>
                <w:rFonts w:ascii="Calibri" w:eastAsia="Times New Roman" w:hAnsi="Calibri" w:cs="Times New Roman"/>
                <w:lang w:val="pt-BR"/>
              </w:rPr>
              <w:t>o</w:t>
            </w:r>
            <w:r w:rsidRPr="0052431B">
              <w:rPr>
                <w:rFonts w:ascii="Calibri" w:eastAsia="Times New Roman" w:hAnsi="Calibri" w:cs="Times New Roman"/>
                <w:lang w:val="pt-BR"/>
              </w:rPr>
              <w:t xml:space="preserve"> (</w:t>
            </w:r>
            <w:proofErr w:type="spellStart"/>
            <w:r w:rsidRPr="0052431B">
              <w:rPr>
                <w:rFonts w:ascii="Calibri" w:eastAsia="Times New Roman" w:hAnsi="Calibri" w:cs="Times New Roman"/>
                <w:lang w:val="pt-BR"/>
              </w:rPr>
              <w:t>tC</w:t>
            </w:r>
            <w:proofErr w:type="spellEnd"/>
            <w:r w:rsidRPr="0052431B">
              <w:rPr>
                <w:rFonts w:ascii="Calibri" w:eastAsia="Times New Roman" w:hAnsi="Calibri" w:cs="Times New Roman"/>
                <w:lang w:val="pt-BR"/>
              </w:rPr>
              <w:t>/ha/</w:t>
            </w:r>
            <w:r>
              <w:rPr>
                <w:rFonts w:ascii="Calibri" w:eastAsia="Times New Roman" w:hAnsi="Calibri" w:cs="Times New Roman"/>
                <w:lang w:val="pt-BR"/>
              </w:rPr>
              <w:t>ano</w:t>
            </w:r>
            <w:r w:rsidRPr="0052431B">
              <w:rPr>
                <w:rFonts w:ascii="Calibri" w:eastAsia="Times New Roman" w:hAnsi="Calibri" w:cs="Times New Roman"/>
                <w:lang w:val="pt-BR"/>
              </w:rPr>
              <w:t>)</w:t>
            </w:r>
          </w:p>
        </w:tc>
        <w:tc>
          <w:tcPr>
            <w:tcW w:w="3478" w:type="dxa"/>
            <w:vAlign w:val="center"/>
          </w:tcPr>
          <w:p w14:paraId="7918B7FC" w14:textId="77777777" w:rsidR="00E56579" w:rsidRPr="0052431B" w:rsidRDefault="00E56579" w:rsidP="002103A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pt-BR"/>
              </w:rPr>
            </w:pPr>
            <w:r w:rsidRPr="0052431B">
              <w:rPr>
                <w:rFonts w:ascii="Calibri" w:eastAsia="Times New Roman" w:hAnsi="Calibri" w:cs="Times New Roman"/>
                <w:lang w:val="pt-BR"/>
              </w:rPr>
              <w:t>Fonte</w:t>
            </w:r>
          </w:p>
        </w:tc>
      </w:tr>
      <w:tr w:rsidR="0065467A" w:rsidRPr="007C5F0C" w14:paraId="4E215647" w14:textId="77777777" w:rsidTr="00EC26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vMerge w:val="restart"/>
            <w:vAlign w:val="center"/>
          </w:tcPr>
          <w:p w14:paraId="607CAF9A" w14:textId="77777777" w:rsidR="0065467A" w:rsidRPr="0052431B" w:rsidRDefault="0065467A" w:rsidP="002103AD">
            <w:pPr>
              <w:jc w:val="both"/>
              <w:rPr>
                <w:rFonts w:asciiTheme="majorHAnsi" w:eastAsia="Times New Roman" w:hAnsiTheme="majorHAnsi" w:cstheme="majorHAnsi"/>
                <w:b w:val="0"/>
              </w:rPr>
            </w:pPr>
            <w:r w:rsidRPr="0052431B">
              <w:rPr>
                <w:rFonts w:asciiTheme="majorHAnsi" w:eastAsia="Times New Roman" w:hAnsiTheme="majorHAnsi" w:cstheme="majorHAnsi"/>
                <w:b w:val="0"/>
              </w:rPr>
              <w:t>Floresta</w:t>
            </w:r>
          </w:p>
        </w:tc>
        <w:tc>
          <w:tcPr>
            <w:tcW w:w="2605" w:type="dxa"/>
            <w:vMerge w:val="restart"/>
            <w:noWrap/>
            <w:vAlign w:val="center"/>
            <w:hideMark/>
          </w:tcPr>
          <w:p w14:paraId="2A6988CE" w14:textId="77777777" w:rsidR="0065467A" w:rsidRPr="00567C88" w:rsidRDefault="0065467A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</w:rPr>
            </w:pPr>
            <w:r w:rsidRPr="00567C88">
              <w:rPr>
                <w:rFonts w:asciiTheme="majorHAnsi" w:eastAsia="Times New Roman" w:hAnsiTheme="majorHAnsi" w:cstheme="majorHAnsi"/>
              </w:rPr>
              <w:t xml:space="preserve">Mata </w:t>
            </w:r>
            <w:proofErr w:type="spellStart"/>
            <w:r w:rsidRPr="00567C88">
              <w:rPr>
                <w:rFonts w:asciiTheme="majorHAnsi" w:eastAsia="Times New Roman" w:hAnsiTheme="majorHAnsi" w:cstheme="majorHAnsi"/>
              </w:rPr>
              <w:t>Atlântica</w:t>
            </w:r>
            <w:proofErr w:type="spellEnd"/>
          </w:p>
        </w:tc>
        <w:tc>
          <w:tcPr>
            <w:tcW w:w="2159" w:type="dxa"/>
            <w:noWrap/>
            <w:vAlign w:val="center"/>
            <w:hideMark/>
          </w:tcPr>
          <w:p w14:paraId="2DB202DB" w14:textId="77777777" w:rsidR="0065467A" w:rsidRPr="00567C88" w:rsidRDefault="0065467A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</w:rPr>
            </w:pPr>
            <w:r w:rsidRPr="00567C88">
              <w:rPr>
                <w:rFonts w:asciiTheme="majorHAnsi" w:eastAsia="Times New Roman" w:hAnsiTheme="majorHAnsi" w:cstheme="majorHAnsi"/>
              </w:rPr>
              <w:t xml:space="preserve">Floresta </w:t>
            </w:r>
            <w:proofErr w:type="spellStart"/>
            <w:r w:rsidRPr="00567C88">
              <w:rPr>
                <w:rFonts w:asciiTheme="majorHAnsi" w:eastAsia="Times New Roman" w:hAnsiTheme="majorHAnsi" w:cstheme="majorHAnsi"/>
              </w:rPr>
              <w:t>primária</w:t>
            </w:r>
            <w:proofErr w:type="spellEnd"/>
          </w:p>
        </w:tc>
        <w:tc>
          <w:tcPr>
            <w:tcW w:w="2148" w:type="dxa"/>
          </w:tcPr>
          <w:p w14:paraId="212451FE" w14:textId="77777777" w:rsidR="0065467A" w:rsidRPr="00B7019D" w:rsidRDefault="0065467A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</w:rPr>
            </w:pPr>
            <w:r w:rsidRPr="00B7019D">
              <w:rPr>
                <w:rFonts w:asciiTheme="majorHAnsi" w:eastAsia="Times New Roman" w:hAnsiTheme="majorHAnsi" w:cstheme="majorHAnsi"/>
              </w:rPr>
              <w:t>0.32</w:t>
            </w:r>
          </w:p>
        </w:tc>
        <w:tc>
          <w:tcPr>
            <w:tcW w:w="3478" w:type="dxa"/>
          </w:tcPr>
          <w:p w14:paraId="096A4D3A" w14:textId="1E5890FB" w:rsidR="0065467A" w:rsidRPr="003A50AE" w:rsidRDefault="0065467A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lang w:val="pt-BR"/>
              </w:rPr>
            </w:pPr>
            <w:r w:rsidRPr="003A50AE">
              <w:rPr>
                <w:rFonts w:asciiTheme="majorHAnsi" w:hAnsiTheme="majorHAnsi" w:cstheme="majorHAnsi"/>
                <w:color w:val="000000"/>
                <w:lang w:val="pt-BR"/>
              </w:rPr>
              <w:t>Brasil. MCTI III Inventario de GEE</w:t>
            </w:r>
          </w:p>
        </w:tc>
      </w:tr>
      <w:tr w:rsidR="00E56579" w:rsidRPr="007C5F0C" w14:paraId="6FF61BEF" w14:textId="77777777" w:rsidTr="00EC268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vMerge/>
          </w:tcPr>
          <w:p w14:paraId="6FF7C213" w14:textId="77777777" w:rsidR="00E56579" w:rsidRPr="003A50AE" w:rsidRDefault="00E56579" w:rsidP="002103AD">
            <w:pPr>
              <w:jc w:val="both"/>
              <w:rPr>
                <w:rFonts w:asciiTheme="majorHAnsi" w:eastAsia="Times New Roman" w:hAnsiTheme="majorHAnsi" w:cstheme="majorHAnsi"/>
                <w:b w:val="0"/>
                <w:lang w:val="pt-BR"/>
              </w:rPr>
            </w:pPr>
          </w:p>
        </w:tc>
        <w:tc>
          <w:tcPr>
            <w:tcW w:w="2605" w:type="dxa"/>
            <w:vMerge/>
            <w:noWrap/>
            <w:vAlign w:val="center"/>
          </w:tcPr>
          <w:p w14:paraId="0EDD3C68" w14:textId="77777777" w:rsidR="00E56579" w:rsidRPr="00567C88" w:rsidRDefault="00E56579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lang w:val="pt-BR"/>
              </w:rPr>
            </w:pPr>
          </w:p>
        </w:tc>
        <w:tc>
          <w:tcPr>
            <w:tcW w:w="2159" w:type="dxa"/>
            <w:noWrap/>
            <w:vAlign w:val="center"/>
            <w:hideMark/>
          </w:tcPr>
          <w:p w14:paraId="58630BAA" w14:textId="77777777" w:rsidR="00E56579" w:rsidRPr="00567C88" w:rsidRDefault="00E56579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</w:rPr>
            </w:pPr>
            <w:r w:rsidRPr="00567C88">
              <w:rPr>
                <w:rFonts w:asciiTheme="majorHAnsi" w:eastAsia="Times New Roman" w:hAnsiTheme="majorHAnsi" w:cstheme="majorHAnsi"/>
              </w:rPr>
              <w:t xml:space="preserve">Floresta </w:t>
            </w:r>
            <w:proofErr w:type="spellStart"/>
            <w:r w:rsidRPr="00567C88">
              <w:rPr>
                <w:rFonts w:asciiTheme="majorHAnsi" w:eastAsia="Times New Roman" w:hAnsiTheme="majorHAnsi" w:cstheme="majorHAnsi"/>
              </w:rPr>
              <w:t>secundária</w:t>
            </w:r>
            <w:proofErr w:type="spellEnd"/>
          </w:p>
        </w:tc>
        <w:tc>
          <w:tcPr>
            <w:tcW w:w="2148" w:type="dxa"/>
          </w:tcPr>
          <w:p w14:paraId="6AC36733" w14:textId="77777777" w:rsidR="00E56579" w:rsidRPr="00B7019D" w:rsidRDefault="00E56579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</w:rPr>
            </w:pPr>
            <w:r w:rsidRPr="00B7019D">
              <w:rPr>
                <w:rFonts w:asciiTheme="majorHAnsi" w:eastAsia="Times New Roman" w:hAnsiTheme="majorHAnsi" w:cstheme="majorHAnsi"/>
              </w:rPr>
              <w:t>5.35</w:t>
            </w:r>
          </w:p>
        </w:tc>
        <w:tc>
          <w:tcPr>
            <w:tcW w:w="3478" w:type="dxa"/>
          </w:tcPr>
          <w:p w14:paraId="655B05B0" w14:textId="77777777" w:rsidR="00E56579" w:rsidRPr="00B7019D" w:rsidRDefault="00E56579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lang w:val="es-ES"/>
              </w:rPr>
            </w:pPr>
            <w:r w:rsidRPr="003A50AE">
              <w:rPr>
                <w:rFonts w:asciiTheme="majorHAnsi" w:hAnsiTheme="majorHAnsi" w:cstheme="majorHAnsi"/>
                <w:color w:val="000000"/>
                <w:lang w:val="pt-BR"/>
              </w:rPr>
              <w:t>Brasil. MCTI III Inventario de GEE</w:t>
            </w:r>
          </w:p>
        </w:tc>
      </w:tr>
      <w:tr w:rsidR="0065467A" w:rsidRPr="007C5F0C" w14:paraId="2DBC5434" w14:textId="77777777" w:rsidTr="00EC26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vMerge/>
          </w:tcPr>
          <w:p w14:paraId="4F9A8859" w14:textId="77777777" w:rsidR="0065467A" w:rsidRPr="00B7019D" w:rsidRDefault="0065467A" w:rsidP="002103AD">
            <w:pPr>
              <w:jc w:val="both"/>
              <w:rPr>
                <w:rFonts w:asciiTheme="majorHAnsi" w:eastAsia="Times New Roman" w:hAnsiTheme="majorHAnsi" w:cstheme="majorHAnsi"/>
                <w:b w:val="0"/>
                <w:lang w:val="es-ES"/>
              </w:rPr>
            </w:pPr>
          </w:p>
        </w:tc>
        <w:tc>
          <w:tcPr>
            <w:tcW w:w="2605" w:type="dxa"/>
            <w:vMerge/>
            <w:noWrap/>
            <w:vAlign w:val="center"/>
          </w:tcPr>
          <w:p w14:paraId="766DA727" w14:textId="77777777" w:rsidR="0065467A" w:rsidRPr="00567C88" w:rsidRDefault="0065467A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lang w:val="es-ES"/>
              </w:rPr>
            </w:pPr>
          </w:p>
        </w:tc>
        <w:tc>
          <w:tcPr>
            <w:tcW w:w="2159" w:type="dxa"/>
            <w:noWrap/>
            <w:vAlign w:val="center"/>
            <w:hideMark/>
          </w:tcPr>
          <w:p w14:paraId="67B287CA" w14:textId="77777777" w:rsidR="0065467A" w:rsidRPr="00567C88" w:rsidRDefault="0065467A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</w:rPr>
            </w:pPr>
            <w:r w:rsidRPr="00567C88">
              <w:rPr>
                <w:rFonts w:asciiTheme="majorHAnsi" w:eastAsia="Times New Roman" w:hAnsiTheme="majorHAnsi" w:cstheme="majorHAnsi"/>
              </w:rPr>
              <w:t>Campo</w:t>
            </w:r>
          </w:p>
        </w:tc>
        <w:tc>
          <w:tcPr>
            <w:tcW w:w="2148" w:type="dxa"/>
          </w:tcPr>
          <w:p w14:paraId="47103DB4" w14:textId="77777777" w:rsidR="0065467A" w:rsidRPr="00B7019D" w:rsidRDefault="0065467A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</w:rPr>
            </w:pPr>
            <w:r w:rsidRPr="00B7019D">
              <w:rPr>
                <w:rFonts w:asciiTheme="majorHAnsi" w:eastAsia="Times New Roman" w:hAnsiTheme="majorHAnsi" w:cstheme="majorHAnsi"/>
              </w:rPr>
              <w:t>0.52</w:t>
            </w:r>
          </w:p>
        </w:tc>
        <w:tc>
          <w:tcPr>
            <w:tcW w:w="3478" w:type="dxa"/>
          </w:tcPr>
          <w:p w14:paraId="551BFCC1" w14:textId="2185D289" w:rsidR="0065467A" w:rsidRPr="003A50AE" w:rsidRDefault="0065467A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lang w:val="pt-BR"/>
              </w:rPr>
            </w:pPr>
            <w:r w:rsidRPr="003A50AE">
              <w:rPr>
                <w:rFonts w:asciiTheme="majorHAnsi" w:hAnsiTheme="majorHAnsi" w:cstheme="majorHAnsi"/>
                <w:color w:val="000000"/>
                <w:lang w:val="pt-BR"/>
              </w:rPr>
              <w:t>Brasil. MCTI III Inventario de GEE</w:t>
            </w:r>
          </w:p>
        </w:tc>
      </w:tr>
      <w:tr w:rsidR="0065467A" w:rsidRPr="00B7019D" w14:paraId="15FFCDB6" w14:textId="77777777" w:rsidTr="00EC268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vMerge/>
          </w:tcPr>
          <w:p w14:paraId="2CF70B6F" w14:textId="77777777" w:rsidR="0065467A" w:rsidRPr="003A50AE" w:rsidRDefault="0065467A" w:rsidP="002103AD">
            <w:pPr>
              <w:jc w:val="both"/>
              <w:rPr>
                <w:rFonts w:asciiTheme="majorHAnsi" w:eastAsia="Times New Roman" w:hAnsiTheme="majorHAnsi" w:cstheme="majorHAnsi"/>
                <w:b w:val="0"/>
                <w:lang w:val="pt-BR"/>
              </w:rPr>
            </w:pPr>
          </w:p>
        </w:tc>
        <w:tc>
          <w:tcPr>
            <w:tcW w:w="2605" w:type="dxa"/>
            <w:vMerge/>
            <w:noWrap/>
            <w:vAlign w:val="center"/>
          </w:tcPr>
          <w:p w14:paraId="1C7E722D" w14:textId="77777777" w:rsidR="0065467A" w:rsidRPr="00567C88" w:rsidRDefault="0065467A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lang w:val="pt-BR"/>
              </w:rPr>
            </w:pPr>
          </w:p>
        </w:tc>
        <w:tc>
          <w:tcPr>
            <w:tcW w:w="2159" w:type="dxa"/>
            <w:noWrap/>
            <w:vAlign w:val="center"/>
          </w:tcPr>
          <w:p w14:paraId="39EEDB73" w14:textId="77777777" w:rsidR="0065467A" w:rsidRPr="00567C88" w:rsidRDefault="0065467A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</w:rPr>
            </w:pPr>
            <w:proofErr w:type="spellStart"/>
            <w:r w:rsidRPr="00567C88">
              <w:rPr>
                <w:rFonts w:asciiTheme="majorHAnsi" w:eastAsia="Times New Roman" w:hAnsiTheme="majorHAnsi" w:cstheme="majorHAnsi"/>
              </w:rPr>
              <w:t>Mangue</w:t>
            </w:r>
            <w:proofErr w:type="spellEnd"/>
          </w:p>
        </w:tc>
        <w:tc>
          <w:tcPr>
            <w:tcW w:w="2148" w:type="dxa"/>
          </w:tcPr>
          <w:p w14:paraId="1B659FF9" w14:textId="77777777" w:rsidR="0065467A" w:rsidRPr="00B7019D" w:rsidRDefault="0065467A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</w:rPr>
            </w:pPr>
            <w:r w:rsidRPr="00B7019D">
              <w:rPr>
                <w:rFonts w:asciiTheme="majorHAnsi" w:eastAsia="Times New Roman" w:hAnsiTheme="majorHAnsi" w:cstheme="majorHAnsi"/>
              </w:rPr>
              <w:t>4.65</w:t>
            </w:r>
          </w:p>
        </w:tc>
        <w:tc>
          <w:tcPr>
            <w:tcW w:w="3478" w:type="dxa"/>
          </w:tcPr>
          <w:p w14:paraId="24B6DB17" w14:textId="77777777" w:rsidR="0065467A" w:rsidRPr="00B7019D" w:rsidRDefault="0065467A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</w:rPr>
            </w:pPr>
            <w:r w:rsidRPr="00B7019D">
              <w:rPr>
                <w:rFonts w:asciiTheme="majorHAnsi" w:eastAsia="Times New Roman" w:hAnsiTheme="majorHAnsi" w:cstheme="majorHAnsi"/>
              </w:rPr>
              <w:t>IPCC (2013). Wetlands Supplement to IPCC 2006.</w:t>
            </w:r>
          </w:p>
        </w:tc>
      </w:tr>
      <w:tr w:rsidR="0065467A" w:rsidRPr="007C5F0C" w14:paraId="624AF453" w14:textId="77777777" w:rsidTr="00EC26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vMerge/>
          </w:tcPr>
          <w:p w14:paraId="1183761E" w14:textId="77777777" w:rsidR="0065467A" w:rsidRPr="00B7019D" w:rsidRDefault="0065467A" w:rsidP="002103AD">
            <w:pPr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2605" w:type="dxa"/>
            <w:vMerge w:val="restart"/>
            <w:noWrap/>
            <w:vAlign w:val="center"/>
          </w:tcPr>
          <w:p w14:paraId="7B571CCF" w14:textId="77777777" w:rsidR="0065467A" w:rsidRPr="00B7019D" w:rsidRDefault="0065467A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</w:rPr>
            </w:pPr>
            <w:proofErr w:type="spellStart"/>
            <w:r w:rsidRPr="00B7019D">
              <w:rPr>
                <w:rFonts w:asciiTheme="majorHAnsi" w:eastAsia="Times New Roman" w:hAnsiTheme="majorHAnsi" w:cstheme="majorHAnsi"/>
              </w:rPr>
              <w:t>Cerrado</w:t>
            </w:r>
            <w:proofErr w:type="spellEnd"/>
          </w:p>
        </w:tc>
        <w:tc>
          <w:tcPr>
            <w:tcW w:w="2159" w:type="dxa"/>
            <w:noWrap/>
            <w:vAlign w:val="center"/>
          </w:tcPr>
          <w:p w14:paraId="57F92F14" w14:textId="77777777" w:rsidR="0065467A" w:rsidRPr="00B7019D" w:rsidRDefault="0065467A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</w:rPr>
            </w:pPr>
            <w:r w:rsidRPr="00B7019D">
              <w:rPr>
                <w:rFonts w:asciiTheme="majorHAnsi" w:eastAsia="Times New Roman" w:hAnsiTheme="majorHAnsi" w:cstheme="majorHAnsi"/>
              </w:rPr>
              <w:t>Floresta</w:t>
            </w:r>
          </w:p>
        </w:tc>
        <w:tc>
          <w:tcPr>
            <w:tcW w:w="2148" w:type="dxa"/>
          </w:tcPr>
          <w:p w14:paraId="0D8FF21A" w14:textId="77777777" w:rsidR="0065467A" w:rsidRPr="00B7019D" w:rsidRDefault="0065467A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</w:rPr>
            </w:pPr>
            <w:r w:rsidRPr="00B7019D">
              <w:rPr>
                <w:rFonts w:asciiTheme="majorHAnsi" w:eastAsia="Times New Roman" w:hAnsiTheme="majorHAnsi" w:cstheme="majorHAnsi"/>
              </w:rPr>
              <w:t>0.2</w:t>
            </w:r>
          </w:p>
        </w:tc>
        <w:tc>
          <w:tcPr>
            <w:tcW w:w="3478" w:type="dxa"/>
          </w:tcPr>
          <w:p w14:paraId="66478F22" w14:textId="6FCEBF48" w:rsidR="0065467A" w:rsidRPr="003A50AE" w:rsidRDefault="0065467A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lang w:val="pt-BR"/>
              </w:rPr>
            </w:pPr>
            <w:r w:rsidRPr="003A50AE">
              <w:rPr>
                <w:rFonts w:asciiTheme="majorHAnsi" w:hAnsiTheme="majorHAnsi" w:cstheme="majorHAnsi"/>
                <w:color w:val="000000"/>
                <w:lang w:val="pt-BR"/>
              </w:rPr>
              <w:t>Brasil. MCTI III Inventario de GEE</w:t>
            </w:r>
          </w:p>
        </w:tc>
      </w:tr>
      <w:tr w:rsidR="0065467A" w:rsidRPr="007C5F0C" w14:paraId="5F7C296F" w14:textId="77777777" w:rsidTr="00EC268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vMerge/>
          </w:tcPr>
          <w:p w14:paraId="708C0059" w14:textId="77777777" w:rsidR="0065467A" w:rsidRPr="003A50AE" w:rsidRDefault="0065467A" w:rsidP="002103AD">
            <w:pPr>
              <w:jc w:val="both"/>
              <w:rPr>
                <w:rFonts w:asciiTheme="majorHAnsi" w:eastAsia="Times New Roman" w:hAnsiTheme="majorHAnsi" w:cstheme="majorHAnsi"/>
                <w:b w:val="0"/>
                <w:lang w:val="pt-BR"/>
              </w:rPr>
            </w:pPr>
          </w:p>
        </w:tc>
        <w:tc>
          <w:tcPr>
            <w:tcW w:w="2605" w:type="dxa"/>
            <w:vMerge/>
            <w:noWrap/>
            <w:vAlign w:val="center"/>
          </w:tcPr>
          <w:p w14:paraId="45F63B43" w14:textId="77777777" w:rsidR="0065467A" w:rsidRPr="003A50AE" w:rsidRDefault="0065467A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lang w:val="pt-BR"/>
              </w:rPr>
            </w:pPr>
          </w:p>
        </w:tc>
        <w:tc>
          <w:tcPr>
            <w:tcW w:w="2159" w:type="dxa"/>
            <w:noWrap/>
            <w:vAlign w:val="center"/>
          </w:tcPr>
          <w:p w14:paraId="124C4698" w14:textId="77777777" w:rsidR="0065467A" w:rsidRPr="00B7019D" w:rsidRDefault="0065467A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</w:rPr>
            </w:pPr>
            <w:r w:rsidRPr="00B7019D">
              <w:rPr>
                <w:rFonts w:asciiTheme="majorHAnsi" w:eastAsia="Times New Roman" w:hAnsiTheme="majorHAnsi" w:cstheme="majorHAnsi"/>
              </w:rPr>
              <w:t xml:space="preserve">Floresta </w:t>
            </w:r>
            <w:proofErr w:type="spellStart"/>
            <w:r w:rsidRPr="00B7019D">
              <w:rPr>
                <w:rFonts w:asciiTheme="majorHAnsi" w:eastAsia="Times New Roman" w:hAnsiTheme="majorHAnsi" w:cstheme="majorHAnsi"/>
              </w:rPr>
              <w:t>secundária</w:t>
            </w:r>
            <w:proofErr w:type="spellEnd"/>
          </w:p>
        </w:tc>
        <w:tc>
          <w:tcPr>
            <w:tcW w:w="2148" w:type="dxa"/>
          </w:tcPr>
          <w:p w14:paraId="133CF31D" w14:textId="77777777" w:rsidR="0065467A" w:rsidRPr="00B7019D" w:rsidRDefault="0065467A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</w:rPr>
            </w:pPr>
            <w:r w:rsidRPr="00B7019D">
              <w:rPr>
                <w:rFonts w:asciiTheme="majorHAnsi" w:eastAsia="Times New Roman" w:hAnsiTheme="majorHAnsi" w:cstheme="majorHAnsi"/>
              </w:rPr>
              <w:t>1.72</w:t>
            </w:r>
          </w:p>
        </w:tc>
        <w:tc>
          <w:tcPr>
            <w:tcW w:w="3478" w:type="dxa"/>
          </w:tcPr>
          <w:p w14:paraId="2447545D" w14:textId="77777777" w:rsidR="0065467A" w:rsidRPr="003A50AE" w:rsidRDefault="0065467A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lang w:val="pt-BR"/>
              </w:rPr>
            </w:pPr>
            <w:r w:rsidRPr="003A50AE">
              <w:rPr>
                <w:rFonts w:asciiTheme="majorHAnsi" w:hAnsiTheme="majorHAnsi" w:cstheme="majorHAnsi"/>
                <w:color w:val="000000"/>
                <w:lang w:val="pt-BR"/>
              </w:rPr>
              <w:t>Brasil. MCTI III Inventario de GEE</w:t>
            </w:r>
          </w:p>
        </w:tc>
      </w:tr>
      <w:tr w:rsidR="0065467A" w:rsidRPr="007C5F0C" w14:paraId="1A021245" w14:textId="77777777" w:rsidTr="00EC26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vMerge/>
          </w:tcPr>
          <w:p w14:paraId="394E6343" w14:textId="77777777" w:rsidR="0065467A" w:rsidRPr="003A50AE" w:rsidRDefault="0065467A" w:rsidP="002103AD">
            <w:pPr>
              <w:jc w:val="both"/>
              <w:rPr>
                <w:rFonts w:asciiTheme="majorHAnsi" w:eastAsia="Times New Roman" w:hAnsiTheme="majorHAnsi" w:cstheme="majorHAnsi"/>
                <w:b w:val="0"/>
                <w:lang w:val="pt-BR"/>
              </w:rPr>
            </w:pPr>
          </w:p>
        </w:tc>
        <w:tc>
          <w:tcPr>
            <w:tcW w:w="2605" w:type="dxa"/>
            <w:vMerge/>
            <w:noWrap/>
            <w:vAlign w:val="center"/>
          </w:tcPr>
          <w:p w14:paraId="0F42D650" w14:textId="77777777" w:rsidR="0065467A" w:rsidRPr="003A50AE" w:rsidRDefault="0065467A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lang w:val="pt-BR"/>
              </w:rPr>
            </w:pPr>
          </w:p>
        </w:tc>
        <w:tc>
          <w:tcPr>
            <w:tcW w:w="2159" w:type="dxa"/>
            <w:noWrap/>
            <w:vAlign w:val="center"/>
          </w:tcPr>
          <w:p w14:paraId="12246DCB" w14:textId="77777777" w:rsidR="0065467A" w:rsidRPr="00B7019D" w:rsidRDefault="0065467A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</w:rPr>
            </w:pPr>
            <w:r w:rsidRPr="00B7019D">
              <w:rPr>
                <w:rFonts w:asciiTheme="majorHAnsi" w:eastAsia="Times New Roman" w:hAnsiTheme="majorHAnsi" w:cstheme="majorHAnsi"/>
              </w:rPr>
              <w:t>Campo</w:t>
            </w:r>
          </w:p>
        </w:tc>
        <w:tc>
          <w:tcPr>
            <w:tcW w:w="2148" w:type="dxa"/>
          </w:tcPr>
          <w:p w14:paraId="1A94B71A" w14:textId="77777777" w:rsidR="0065467A" w:rsidRPr="00B7019D" w:rsidRDefault="0065467A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</w:rPr>
            </w:pPr>
            <w:r w:rsidRPr="00B7019D">
              <w:rPr>
                <w:rFonts w:asciiTheme="majorHAnsi" w:eastAsia="Times New Roman" w:hAnsiTheme="majorHAnsi" w:cstheme="majorHAnsi"/>
              </w:rPr>
              <w:t>0.52</w:t>
            </w:r>
          </w:p>
        </w:tc>
        <w:tc>
          <w:tcPr>
            <w:tcW w:w="3478" w:type="dxa"/>
          </w:tcPr>
          <w:p w14:paraId="56411651" w14:textId="416E63BB" w:rsidR="0065467A" w:rsidRPr="003A50AE" w:rsidRDefault="0065467A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lang w:val="pt-BR"/>
              </w:rPr>
            </w:pPr>
            <w:r w:rsidRPr="003A50AE">
              <w:rPr>
                <w:rFonts w:asciiTheme="majorHAnsi" w:hAnsiTheme="majorHAnsi" w:cstheme="majorHAnsi"/>
                <w:color w:val="000000"/>
                <w:lang w:val="pt-BR"/>
              </w:rPr>
              <w:t>Brasil. MCTI III Inventario de GEE</w:t>
            </w:r>
          </w:p>
        </w:tc>
      </w:tr>
      <w:tr w:rsidR="0065467A" w:rsidRPr="007C5F0C" w14:paraId="72B33494" w14:textId="77777777" w:rsidTr="00EC268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5" w:type="dxa"/>
            <w:gridSpan w:val="2"/>
            <w:vMerge w:val="restart"/>
            <w:vAlign w:val="center"/>
          </w:tcPr>
          <w:p w14:paraId="22702561" w14:textId="77777777" w:rsidR="0065467A" w:rsidRPr="00B7019D" w:rsidRDefault="0065467A" w:rsidP="002103AD">
            <w:pPr>
              <w:jc w:val="both"/>
              <w:rPr>
                <w:rFonts w:asciiTheme="majorHAnsi" w:hAnsiTheme="majorHAnsi" w:cstheme="majorHAnsi"/>
                <w:b w:val="0"/>
              </w:rPr>
            </w:pPr>
            <w:r w:rsidRPr="00B7019D">
              <w:rPr>
                <w:rFonts w:asciiTheme="majorHAnsi" w:hAnsiTheme="majorHAnsi" w:cstheme="majorHAnsi"/>
                <w:b w:val="0"/>
              </w:rPr>
              <w:t xml:space="preserve">Areas </w:t>
            </w:r>
            <w:proofErr w:type="spellStart"/>
            <w:r w:rsidRPr="00B7019D">
              <w:rPr>
                <w:rFonts w:asciiTheme="majorHAnsi" w:hAnsiTheme="majorHAnsi" w:cstheme="majorHAnsi"/>
                <w:b w:val="0"/>
              </w:rPr>
              <w:t>agrícolas</w:t>
            </w:r>
            <w:proofErr w:type="spellEnd"/>
          </w:p>
        </w:tc>
        <w:tc>
          <w:tcPr>
            <w:tcW w:w="2159" w:type="dxa"/>
            <w:noWrap/>
            <w:vAlign w:val="bottom"/>
          </w:tcPr>
          <w:p w14:paraId="4356BE20" w14:textId="77777777" w:rsidR="0065467A" w:rsidRPr="00B7019D" w:rsidRDefault="0065467A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</w:rPr>
            </w:pPr>
            <w:r w:rsidRPr="00B7019D">
              <w:rPr>
                <w:rFonts w:asciiTheme="majorHAnsi" w:hAnsiTheme="majorHAnsi" w:cstheme="majorHAnsi"/>
              </w:rPr>
              <w:t>Agricultura</w:t>
            </w:r>
            <w:r>
              <w:rPr>
                <w:rFonts w:asciiTheme="majorHAnsi" w:hAnsiTheme="majorHAnsi" w:cstheme="majorHAnsi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</w:rPr>
              <w:t>perene</w:t>
            </w:r>
            <w:proofErr w:type="spellEnd"/>
          </w:p>
        </w:tc>
        <w:tc>
          <w:tcPr>
            <w:tcW w:w="2148" w:type="dxa"/>
          </w:tcPr>
          <w:p w14:paraId="71C89AD4" w14:textId="5F28D341" w:rsidR="0065467A" w:rsidRPr="00B7019D" w:rsidRDefault="007959CA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</w:rPr>
              <w:t>3.12</w:t>
            </w:r>
          </w:p>
        </w:tc>
        <w:tc>
          <w:tcPr>
            <w:tcW w:w="3478" w:type="dxa"/>
          </w:tcPr>
          <w:p w14:paraId="37E8A29D" w14:textId="77777777" w:rsidR="0065467A" w:rsidRPr="003A50AE" w:rsidRDefault="0065467A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lang w:val="pt-BR"/>
              </w:rPr>
            </w:pPr>
            <w:r w:rsidRPr="003A50AE">
              <w:rPr>
                <w:rFonts w:asciiTheme="majorHAnsi" w:hAnsiTheme="majorHAnsi" w:cstheme="majorHAnsi"/>
                <w:color w:val="000000"/>
                <w:lang w:val="pt-BR"/>
              </w:rPr>
              <w:t>Brasil. MCTI III Inventario de GEE</w:t>
            </w:r>
          </w:p>
        </w:tc>
      </w:tr>
      <w:tr w:rsidR="0065467A" w:rsidRPr="007C5F0C" w14:paraId="55D0A2A5" w14:textId="77777777" w:rsidTr="00EC26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5" w:type="dxa"/>
            <w:gridSpan w:val="2"/>
            <w:vMerge/>
          </w:tcPr>
          <w:p w14:paraId="5FF4FFE9" w14:textId="77777777" w:rsidR="0065467A" w:rsidRPr="003A50AE" w:rsidRDefault="0065467A" w:rsidP="002103AD">
            <w:pPr>
              <w:jc w:val="both"/>
              <w:rPr>
                <w:rFonts w:asciiTheme="majorHAnsi" w:hAnsiTheme="majorHAnsi" w:cstheme="majorHAnsi"/>
                <w:b w:val="0"/>
                <w:lang w:val="pt-BR"/>
              </w:rPr>
            </w:pPr>
          </w:p>
        </w:tc>
        <w:tc>
          <w:tcPr>
            <w:tcW w:w="2159" w:type="dxa"/>
            <w:noWrap/>
            <w:vAlign w:val="bottom"/>
          </w:tcPr>
          <w:p w14:paraId="550A6815" w14:textId="77777777" w:rsidR="0065467A" w:rsidRPr="0046299A" w:rsidRDefault="0065467A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</w:rPr>
            </w:pPr>
            <w:r w:rsidRPr="0046299A">
              <w:rPr>
                <w:rFonts w:asciiTheme="majorHAnsi" w:hAnsiTheme="majorHAnsi" w:cstheme="majorHAnsi"/>
              </w:rPr>
              <w:t>Annual</w:t>
            </w:r>
          </w:p>
        </w:tc>
        <w:tc>
          <w:tcPr>
            <w:tcW w:w="2148" w:type="dxa"/>
          </w:tcPr>
          <w:p w14:paraId="0B47D0B0" w14:textId="77777777" w:rsidR="0065467A" w:rsidRPr="0046299A" w:rsidRDefault="0065467A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</w:rPr>
              <w:t>3.12</w:t>
            </w:r>
          </w:p>
        </w:tc>
        <w:tc>
          <w:tcPr>
            <w:tcW w:w="3478" w:type="dxa"/>
          </w:tcPr>
          <w:p w14:paraId="5D1DA85B" w14:textId="77777777" w:rsidR="0065467A" w:rsidRPr="003A50AE" w:rsidRDefault="0065467A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lang w:val="pt-BR"/>
              </w:rPr>
            </w:pPr>
            <w:r w:rsidRPr="003A50AE">
              <w:rPr>
                <w:rFonts w:asciiTheme="majorHAnsi" w:hAnsiTheme="majorHAnsi" w:cstheme="majorHAnsi"/>
                <w:color w:val="000000"/>
                <w:lang w:val="pt-BR"/>
              </w:rPr>
              <w:t>Brasil. MCTI III Inventario de GEE</w:t>
            </w:r>
          </w:p>
        </w:tc>
      </w:tr>
      <w:tr w:rsidR="0065467A" w:rsidRPr="0046299A" w14:paraId="71E9A7CA" w14:textId="77777777" w:rsidTr="00EC268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5" w:type="dxa"/>
            <w:gridSpan w:val="2"/>
            <w:vMerge/>
          </w:tcPr>
          <w:p w14:paraId="3FFC69E2" w14:textId="77777777" w:rsidR="0065467A" w:rsidRPr="003A50AE" w:rsidRDefault="0065467A" w:rsidP="002103AD">
            <w:pPr>
              <w:jc w:val="both"/>
              <w:rPr>
                <w:rFonts w:asciiTheme="majorHAnsi" w:hAnsiTheme="majorHAnsi" w:cstheme="majorHAnsi"/>
                <w:b w:val="0"/>
                <w:lang w:val="pt-BR"/>
              </w:rPr>
            </w:pPr>
          </w:p>
        </w:tc>
        <w:tc>
          <w:tcPr>
            <w:tcW w:w="2159" w:type="dxa"/>
            <w:noWrap/>
            <w:vAlign w:val="bottom"/>
          </w:tcPr>
          <w:p w14:paraId="5176EA0D" w14:textId="587AF0EE" w:rsidR="0065467A" w:rsidRPr="00EB4E9C" w:rsidRDefault="0065467A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</w:rPr>
            </w:pPr>
            <w:r w:rsidRPr="00EB4E9C">
              <w:rPr>
                <w:rFonts w:asciiTheme="majorHAnsi" w:hAnsiTheme="majorHAnsi" w:cstheme="majorHAnsi"/>
              </w:rPr>
              <w:t xml:space="preserve">Cana de </w:t>
            </w:r>
            <w:proofErr w:type="spellStart"/>
            <w:r w:rsidRPr="00EB4E9C">
              <w:rPr>
                <w:rFonts w:asciiTheme="majorHAnsi" w:hAnsiTheme="majorHAnsi" w:cstheme="majorHAnsi"/>
              </w:rPr>
              <w:t>aç</w:t>
            </w:r>
            <w:r>
              <w:rPr>
                <w:rFonts w:asciiTheme="majorHAnsi" w:hAnsiTheme="majorHAnsi" w:cstheme="majorHAnsi"/>
              </w:rPr>
              <w:t>ú</w:t>
            </w:r>
            <w:r w:rsidRPr="00EB4E9C">
              <w:rPr>
                <w:rFonts w:asciiTheme="majorHAnsi" w:hAnsiTheme="majorHAnsi" w:cstheme="majorHAnsi"/>
              </w:rPr>
              <w:t>car</w:t>
            </w:r>
            <w:proofErr w:type="spellEnd"/>
          </w:p>
        </w:tc>
        <w:tc>
          <w:tcPr>
            <w:tcW w:w="2148" w:type="dxa"/>
          </w:tcPr>
          <w:p w14:paraId="59FDE497" w14:textId="029FE24F" w:rsidR="0065467A" w:rsidRPr="0046299A" w:rsidRDefault="00F32203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</w:rPr>
              <w:t>16.2</w:t>
            </w:r>
          </w:p>
        </w:tc>
        <w:tc>
          <w:tcPr>
            <w:tcW w:w="3478" w:type="dxa"/>
          </w:tcPr>
          <w:p w14:paraId="7C3755F6" w14:textId="77777777" w:rsidR="0065467A" w:rsidRPr="0046299A" w:rsidRDefault="0065467A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</w:rPr>
              <w:t>Embrapa (2001)</w:t>
            </w:r>
          </w:p>
        </w:tc>
      </w:tr>
      <w:tr w:rsidR="007959CA" w:rsidRPr="00B7019D" w14:paraId="3ED510EC" w14:textId="77777777" w:rsidTr="007959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5" w:type="dxa"/>
            <w:gridSpan w:val="2"/>
            <w:vMerge w:val="restart"/>
            <w:noWrap/>
            <w:vAlign w:val="center"/>
          </w:tcPr>
          <w:p w14:paraId="629B7875" w14:textId="77777777" w:rsidR="007959CA" w:rsidRPr="00FE2730" w:rsidRDefault="007959CA" w:rsidP="007959CA">
            <w:pPr>
              <w:rPr>
                <w:rFonts w:asciiTheme="majorHAnsi" w:eastAsia="Times New Roman" w:hAnsiTheme="majorHAnsi" w:cstheme="majorHAnsi"/>
                <w:b w:val="0"/>
                <w:bCs w:val="0"/>
              </w:rPr>
            </w:pPr>
            <w:proofErr w:type="spellStart"/>
            <w:r w:rsidRPr="00FE2730">
              <w:rPr>
                <w:rFonts w:asciiTheme="majorHAnsi" w:hAnsiTheme="majorHAnsi" w:cstheme="majorHAnsi"/>
                <w:b w:val="0"/>
                <w:bCs w:val="0"/>
              </w:rPr>
              <w:t>Plantação</w:t>
            </w:r>
            <w:proofErr w:type="spellEnd"/>
            <w:r w:rsidRPr="00FE2730">
              <w:rPr>
                <w:rFonts w:asciiTheme="majorHAnsi" w:hAnsiTheme="majorHAnsi" w:cstheme="majorHAnsi"/>
                <w:b w:val="0"/>
                <w:bCs w:val="0"/>
              </w:rPr>
              <w:t xml:space="preserve"> </w:t>
            </w:r>
            <w:proofErr w:type="spellStart"/>
            <w:r w:rsidRPr="00FE2730">
              <w:rPr>
                <w:rFonts w:asciiTheme="majorHAnsi" w:hAnsiTheme="majorHAnsi" w:cstheme="majorHAnsi"/>
                <w:b w:val="0"/>
                <w:bCs w:val="0"/>
              </w:rPr>
              <w:t>Florestal</w:t>
            </w:r>
            <w:proofErr w:type="spellEnd"/>
          </w:p>
        </w:tc>
        <w:tc>
          <w:tcPr>
            <w:tcW w:w="2159" w:type="dxa"/>
            <w:noWrap/>
          </w:tcPr>
          <w:p w14:paraId="01690284" w14:textId="20A54ED8" w:rsidR="007959CA" w:rsidRPr="00B7019D" w:rsidRDefault="007959CA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</w:rPr>
            </w:pPr>
            <w:r w:rsidRPr="00B7019D">
              <w:rPr>
                <w:rFonts w:asciiTheme="majorHAnsi" w:eastAsia="Times New Roman" w:hAnsiTheme="majorHAnsi" w:cstheme="majorHAnsi"/>
              </w:rPr>
              <w:t>Eucalyptus</w:t>
            </w:r>
          </w:p>
        </w:tc>
        <w:tc>
          <w:tcPr>
            <w:tcW w:w="2148" w:type="dxa"/>
          </w:tcPr>
          <w:p w14:paraId="3492258C" w14:textId="77777777" w:rsidR="007959CA" w:rsidRPr="00B7019D" w:rsidRDefault="007959CA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</w:rPr>
            </w:pPr>
            <w:r w:rsidRPr="00B7019D">
              <w:rPr>
                <w:rFonts w:asciiTheme="majorHAnsi" w:eastAsia="Times New Roman" w:hAnsiTheme="majorHAnsi" w:cstheme="majorHAnsi"/>
              </w:rPr>
              <w:t>11.4</w:t>
            </w:r>
          </w:p>
        </w:tc>
        <w:tc>
          <w:tcPr>
            <w:tcW w:w="3478" w:type="dxa"/>
          </w:tcPr>
          <w:p w14:paraId="65B72A0D" w14:textId="484A3FCC" w:rsidR="007959CA" w:rsidRPr="00B7019D" w:rsidRDefault="007959CA" w:rsidP="002103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</w:rPr>
            </w:pPr>
            <w:r w:rsidRPr="00B7019D">
              <w:rPr>
                <w:rFonts w:asciiTheme="majorHAnsi" w:eastAsia="Times New Roman" w:hAnsiTheme="majorHAnsi" w:cstheme="majorHAnsi"/>
              </w:rPr>
              <w:t>CETESB (201</w:t>
            </w:r>
            <w:r>
              <w:rPr>
                <w:rFonts w:asciiTheme="majorHAnsi" w:eastAsia="Times New Roman" w:hAnsiTheme="majorHAnsi" w:cstheme="majorHAnsi"/>
              </w:rPr>
              <w:t>7</w:t>
            </w:r>
            <w:r w:rsidRPr="00B7019D">
              <w:rPr>
                <w:rFonts w:asciiTheme="majorHAnsi" w:eastAsia="Times New Roman" w:hAnsiTheme="majorHAnsi" w:cstheme="majorHAnsi"/>
              </w:rPr>
              <w:t>)</w:t>
            </w:r>
          </w:p>
        </w:tc>
      </w:tr>
      <w:tr w:rsidR="007959CA" w:rsidRPr="00B7019D" w14:paraId="634A838A" w14:textId="77777777" w:rsidTr="00E558D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5" w:type="dxa"/>
            <w:gridSpan w:val="2"/>
            <w:vMerge/>
            <w:noWrap/>
          </w:tcPr>
          <w:p w14:paraId="52D8DC77" w14:textId="77777777" w:rsidR="007959CA" w:rsidRPr="00FE2730" w:rsidRDefault="007959CA" w:rsidP="002103AD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159" w:type="dxa"/>
            <w:noWrap/>
          </w:tcPr>
          <w:p w14:paraId="648E955F" w14:textId="09768097" w:rsidR="007959CA" w:rsidRPr="00B7019D" w:rsidRDefault="007959CA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</w:rPr>
            </w:pPr>
            <w:r w:rsidRPr="00B7019D">
              <w:rPr>
                <w:rFonts w:asciiTheme="majorHAnsi" w:eastAsia="Times New Roman" w:hAnsiTheme="majorHAnsi" w:cstheme="majorHAnsi"/>
              </w:rPr>
              <w:t>Pinus</w:t>
            </w:r>
          </w:p>
        </w:tc>
        <w:tc>
          <w:tcPr>
            <w:tcW w:w="2148" w:type="dxa"/>
          </w:tcPr>
          <w:p w14:paraId="4D055D0A" w14:textId="7E1C25A6" w:rsidR="007959CA" w:rsidRPr="00B7019D" w:rsidRDefault="007959CA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</w:rPr>
              <w:t>10.55</w:t>
            </w:r>
          </w:p>
        </w:tc>
        <w:tc>
          <w:tcPr>
            <w:tcW w:w="3478" w:type="dxa"/>
          </w:tcPr>
          <w:p w14:paraId="61CF2851" w14:textId="7DA2C56A" w:rsidR="007959CA" w:rsidRPr="00B7019D" w:rsidRDefault="007959CA" w:rsidP="002103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</w:rPr>
            </w:pPr>
            <w:r w:rsidRPr="00B7019D">
              <w:rPr>
                <w:rFonts w:asciiTheme="majorHAnsi" w:eastAsia="Times New Roman" w:hAnsiTheme="majorHAnsi" w:cstheme="majorHAnsi"/>
              </w:rPr>
              <w:t>CETESB (201</w:t>
            </w:r>
            <w:r>
              <w:rPr>
                <w:rFonts w:asciiTheme="majorHAnsi" w:eastAsia="Times New Roman" w:hAnsiTheme="majorHAnsi" w:cstheme="majorHAnsi"/>
              </w:rPr>
              <w:t>7</w:t>
            </w:r>
            <w:r w:rsidRPr="00B7019D">
              <w:rPr>
                <w:rFonts w:asciiTheme="majorHAnsi" w:eastAsia="Times New Roman" w:hAnsiTheme="majorHAnsi" w:cstheme="majorHAnsi"/>
              </w:rPr>
              <w:t>)</w:t>
            </w:r>
          </w:p>
        </w:tc>
      </w:tr>
    </w:tbl>
    <w:p w14:paraId="2BD6E01A" w14:textId="77777777" w:rsidR="00E56579" w:rsidRDefault="00E56579" w:rsidP="002103AD">
      <w:pPr>
        <w:jc w:val="both"/>
      </w:pPr>
    </w:p>
    <w:p w14:paraId="1E9E19E4" w14:textId="70C95B2C" w:rsidR="002559B8" w:rsidRPr="00705CCE" w:rsidRDefault="002559B8" w:rsidP="002103AD">
      <w:pPr>
        <w:jc w:val="both"/>
        <w:rPr>
          <w:b/>
          <w:i/>
          <w:color w:val="FF0000"/>
          <w:lang w:val="pt-BR"/>
        </w:rPr>
      </w:pPr>
    </w:p>
    <w:p w14:paraId="5C364BA6" w14:textId="2A01104C" w:rsidR="002559B8" w:rsidRPr="00705CCE" w:rsidRDefault="002559B8" w:rsidP="002103AD">
      <w:pPr>
        <w:jc w:val="both"/>
        <w:rPr>
          <w:b/>
          <w:i/>
          <w:color w:val="FF0000"/>
          <w:lang w:val="pt-BR"/>
        </w:rPr>
      </w:pPr>
    </w:p>
    <w:p w14:paraId="3703B452" w14:textId="77777777" w:rsidR="005356F2" w:rsidRDefault="005356F2" w:rsidP="002103AD">
      <w:pPr>
        <w:jc w:val="both"/>
        <w:rPr>
          <w:b/>
          <w:i/>
          <w:color w:val="FF0000"/>
          <w:lang w:val="pt-BR"/>
        </w:rPr>
        <w:sectPr w:rsidR="005356F2" w:rsidSect="00E56579"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</w:p>
    <w:p w14:paraId="11417FCD" w14:textId="32C04137" w:rsidR="001C24E1" w:rsidRDefault="001C24E1" w:rsidP="000A11CA">
      <w:pPr>
        <w:jc w:val="both"/>
        <w:rPr>
          <w:lang w:val="pt-BR"/>
        </w:rPr>
      </w:pPr>
      <w:r w:rsidRPr="001C24E1">
        <w:rPr>
          <w:lang w:val="pt-BR"/>
        </w:rPr>
        <w:lastRenderedPageBreak/>
        <w:t>Remoções resultantes da conversão d</w:t>
      </w:r>
      <w:r>
        <w:rPr>
          <w:lang w:val="pt-BR"/>
        </w:rPr>
        <w:t xml:space="preserve">e áreas para classe florestal utilizou taxas referentes a floresta secundária, </w:t>
      </w:r>
      <w:r w:rsidR="0001154A">
        <w:rPr>
          <w:lang w:val="pt-BR"/>
        </w:rPr>
        <w:t>enquanto</w:t>
      </w:r>
      <w:r>
        <w:rPr>
          <w:lang w:val="pt-BR"/>
        </w:rPr>
        <w:t xml:space="preserve"> para floresta permanecendo como floresta foi aplicad</w:t>
      </w:r>
      <w:r w:rsidR="00201C53">
        <w:rPr>
          <w:lang w:val="pt-BR"/>
        </w:rPr>
        <w:t>a</w:t>
      </w:r>
      <w:r>
        <w:rPr>
          <w:lang w:val="pt-BR"/>
        </w:rPr>
        <w:t xml:space="preserve"> a taxa de remoção referente </w:t>
      </w:r>
      <w:r w:rsidR="00201C53">
        <w:rPr>
          <w:lang w:val="pt-BR"/>
        </w:rPr>
        <w:t>à</w:t>
      </w:r>
      <w:r>
        <w:rPr>
          <w:lang w:val="pt-BR"/>
        </w:rPr>
        <w:t xml:space="preserve"> floresta primária. </w:t>
      </w:r>
      <w:r w:rsidR="000A11CA">
        <w:rPr>
          <w:lang w:val="pt-BR"/>
        </w:rPr>
        <w:t>Foi adotad</w:t>
      </w:r>
      <w:r w:rsidR="00201C53">
        <w:rPr>
          <w:lang w:val="pt-BR"/>
        </w:rPr>
        <w:t>a</w:t>
      </w:r>
      <w:r w:rsidR="000A11CA">
        <w:rPr>
          <w:lang w:val="pt-BR"/>
        </w:rPr>
        <w:t xml:space="preserve"> conservadoramente para as taxas de remoções das florestas plantadas a média do estoque de biomassa de longo prazo, considerando qualquer diminuição do estoque resultante do manejo desses sistemas produtivos. </w:t>
      </w:r>
    </w:p>
    <w:p w14:paraId="1E7C5D8B" w14:textId="77777777" w:rsidR="000A711E" w:rsidRDefault="000A711E" w:rsidP="002103AD">
      <w:pPr>
        <w:jc w:val="both"/>
        <w:rPr>
          <w:lang w:val="pt-BR"/>
        </w:rPr>
      </w:pPr>
    </w:p>
    <w:p w14:paraId="0E63B1C7" w14:textId="021C3CCB" w:rsidR="001C24E1" w:rsidRDefault="001C24E1" w:rsidP="002103AD">
      <w:pPr>
        <w:pStyle w:val="Heading2"/>
        <w:jc w:val="both"/>
        <w:rPr>
          <w:lang w:val="pt-BR"/>
        </w:rPr>
      </w:pPr>
      <w:r w:rsidRPr="001C24E1">
        <w:rPr>
          <w:lang w:val="pt-BR"/>
        </w:rPr>
        <w:t>Cálculo das emissões e remoções histór</w:t>
      </w:r>
      <w:r>
        <w:rPr>
          <w:lang w:val="pt-BR"/>
        </w:rPr>
        <w:t>icas de GEE</w:t>
      </w:r>
    </w:p>
    <w:p w14:paraId="426D122C" w14:textId="10F7BB90" w:rsidR="00121D0E" w:rsidRDefault="00356234" w:rsidP="002103AD">
      <w:pPr>
        <w:jc w:val="both"/>
        <w:rPr>
          <w:lang w:val="pt-BR"/>
        </w:rPr>
      </w:pPr>
      <w:r>
        <w:rPr>
          <w:lang w:val="pt-BR"/>
        </w:rPr>
        <w:t>As e</w:t>
      </w:r>
      <w:r w:rsidRPr="00EE031A">
        <w:rPr>
          <w:lang w:val="pt-BR"/>
        </w:rPr>
        <w:t>missões e remoções foram calculadas e reportad</w:t>
      </w:r>
      <w:r>
        <w:rPr>
          <w:lang w:val="pt-BR"/>
        </w:rPr>
        <w:t>a</w:t>
      </w:r>
      <w:r w:rsidRPr="00EE031A">
        <w:rPr>
          <w:lang w:val="pt-BR"/>
        </w:rPr>
        <w:t>s em toneladas de dióxido de carbono equivalente (tCO</w:t>
      </w:r>
      <w:r w:rsidRPr="00EE031A">
        <w:rPr>
          <w:vertAlign w:val="subscript"/>
          <w:lang w:val="pt-BR"/>
        </w:rPr>
        <w:t>2</w:t>
      </w:r>
      <w:r w:rsidRPr="00EE031A">
        <w:rPr>
          <w:lang w:val="pt-BR"/>
        </w:rPr>
        <w:t xml:space="preserve">e) </w:t>
      </w:r>
      <w:r w:rsidRPr="00556725">
        <w:rPr>
          <w:lang w:val="pt-BR"/>
        </w:rPr>
        <w:t xml:space="preserve">seguindo </w:t>
      </w:r>
      <w:r>
        <w:rPr>
          <w:lang w:val="pt-BR"/>
        </w:rPr>
        <w:t>as recomendações do</w:t>
      </w:r>
      <w:r w:rsidRPr="00EE031A">
        <w:rPr>
          <w:lang w:val="pt-BR"/>
        </w:rPr>
        <w:t xml:space="preserve"> IPCC. </w:t>
      </w:r>
      <w:r>
        <w:rPr>
          <w:lang w:val="pt-BR"/>
        </w:rPr>
        <w:t>Para isto,</w:t>
      </w:r>
      <w:r w:rsidRPr="00EE031A">
        <w:rPr>
          <w:lang w:val="pt-BR"/>
        </w:rPr>
        <w:t xml:space="preserve"> convert</w:t>
      </w:r>
      <w:r>
        <w:rPr>
          <w:lang w:val="pt-BR"/>
        </w:rPr>
        <w:t>e</w:t>
      </w:r>
      <w:r w:rsidR="00201C53">
        <w:rPr>
          <w:lang w:val="pt-BR"/>
        </w:rPr>
        <w:t>ram</w:t>
      </w:r>
      <w:r>
        <w:rPr>
          <w:lang w:val="pt-BR"/>
        </w:rPr>
        <w:t>-se</w:t>
      </w:r>
      <w:r w:rsidRPr="00EE031A">
        <w:rPr>
          <w:lang w:val="pt-BR"/>
        </w:rPr>
        <w:t xml:space="preserve"> os valores de biomassa para carbono, utilizando a fração de carbono de 0</w:t>
      </w:r>
      <w:r>
        <w:rPr>
          <w:lang w:val="pt-BR"/>
        </w:rPr>
        <w:t>,</w:t>
      </w:r>
      <w:r w:rsidRPr="00EE031A">
        <w:rPr>
          <w:lang w:val="pt-BR"/>
        </w:rPr>
        <w:t>47 (IPCC, 2006) e multiplic</w:t>
      </w:r>
      <w:r w:rsidR="00201C53">
        <w:rPr>
          <w:lang w:val="pt-BR"/>
        </w:rPr>
        <w:t>aram</w:t>
      </w:r>
      <w:r>
        <w:rPr>
          <w:lang w:val="pt-BR"/>
        </w:rPr>
        <w:t>-se</w:t>
      </w:r>
      <w:r w:rsidRPr="00EE031A">
        <w:rPr>
          <w:lang w:val="pt-BR"/>
        </w:rPr>
        <w:t xml:space="preserve"> as estimativas de toneladas de carbono (t C) p</w:t>
      </w:r>
      <w:r>
        <w:rPr>
          <w:lang w:val="pt-BR"/>
        </w:rPr>
        <w:t>elo fator de</w:t>
      </w:r>
      <w:r w:rsidRPr="00EE031A">
        <w:rPr>
          <w:lang w:val="pt-BR"/>
        </w:rPr>
        <w:t xml:space="preserve"> 44/12, </w:t>
      </w:r>
      <w:r>
        <w:rPr>
          <w:lang w:val="pt-BR"/>
        </w:rPr>
        <w:t xml:space="preserve">que representa a razão entre </w:t>
      </w:r>
      <w:r w:rsidRPr="00EE031A">
        <w:rPr>
          <w:lang w:val="pt-BR"/>
        </w:rPr>
        <w:t>o peso molecular da molécula do dióxido (44) pelo carbono (12).</w:t>
      </w:r>
    </w:p>
    <w:p w14:paraId="76E6608D" w14:textId="77777777" w:rsidR="00356234" w:rsidRDefault="00356234" w:rsidP="002103AD">
      <w:pPr>
        <w:jc w:val="both"/>
        <w:rPr>
          <w:lang w:val="pt-BR"/>
        </w:rPr>
      </w:pPr>
    </w:p>
    <w:p w14:paraId="43FE299F" w14:textId="35704CEA" w:rsidR="001E2113" w:rsidRDefault="001E2113" w:rsidP="001E2113">
      <w:pPr>
        <w:pStyle w:val="Heading3"/>
        <w:rPr>
          <w:lang w:val="pt-BR"/>
        </w:rPr>
      </w:pPr>
      <w:r>
        <w:rPr>
          <w:lang w:val="pt-BR"/>
        </w:rPr>
        <w:t>Mudança</w:t>
      </w:r>
      <w:r w:rsidR="00121D0E">
        <w:rPr>
          <w:lang w:val="pt-BR"/>
        </w:rPr>
        <w:t>s</w:t>
      </w:r>
      <w:r>
        <w:rPr>
          <w:lang w:val="pt-BR"/>
        </w:rPr>
        <w:t xml:space="preserve"> no uso da terra</w:t>
      </w:r>
    </w:p>
    <w:p w14:paraId="312CF674" w14:textId="0AE32C3A" w:rsidR="001C24E1" w:rsidRDefault="001C24E1" w:rsidP="002103AD">
      <w:pPr>
        <w:jc w:val="both"/>
        <w:rPr>
          <w:lang w:val="pt-BR"/>
        </w:rPr>
      </w:pPr>
      <w:r w:rsidRPr="001C24E1">
        <w:rPr>
          <w:lang w:val="pt-BR"/>
        </w:rPr>
        <w:t>O cálcu</w:t>
      </w:r>
      <w:r>
        <w:rPr>
          <w:lang w:val="pt-BR"/>
        </w:rPr>
        <w:t>l</w:t>
      </w:r>
      <w:r w:rsidRPr="001C24E1">
        <w:rPr>
          <w:lang w:val="pt-BR"/>
        </w:rPr>
        <w:t>o das emiss</w:t>
      </w:r>
      <w:r>
        <w:rPr>
          <w:lang w:val="pt-BR"/>
        </w:rPr>
        <w:t xml:space="preserve">ões para as transições </w:t>
      </w:r>
      <w:r w:rsidR="004A274A">
        <w:rPr>
          <w:lang w:val="pt-BR"/>
        </w:rPr>
        <w:t>n</w:t>
      </w:r>
      <w:r>
        <w:rPr>
          <w:lang w:val="pt-BR"/>
        </w:rPr>
        <w:t xml:space="preserve">o uso da terra empregou o método de </w:t>
      </w:r>
      <w:r w:rsidR="004A274A">
        <w:rPr>
          <w:lang w:val="pt-BR"/>
        </w:rPr>
        <w:t>“</w:t>
      </w:r>
      <w:r>
        <w:rPr>
          <w:lang w:val="pt-BR"/>
        </w:rPr>
        <w:t>diferença de estoque</w:t>
      </w:r>
      <w:r w:rsidR="004A274A">
        <w:rPr>
          <w:lang w:val="pt-BR"/>
        </w:rPr>
        <w:t>”</w:t>
      </w:r>
      <w:r>
        <w:rPr>
          <w:lang w:val="pt-BR"/>
        </w:rPr>
        <w:t xml:space="preserve"> do IPCC, </w:t>
      </w:r>
      <w:r w:rsidR="001B41C4">
        <w:rPr>
          <w:lang w:val="pt-BR"/>
        </w:rPr>
        <w:t xml:space="preserve">enquanto </w:t>
      </w:r>
      <w:r>
        <w:rPr>
          <w:lang w:val="pt-BR"/>
        </w:rPr>
        <w:t xml:space="preserve">o cálculo </w:t>
      </w:r>
      <w:r w:rsidR="001B41C4">
        <w:rPr>
          <w:lang w:val="pt-BR"/>
        </w:rPr>
        <w:t xml:space="preserve">das remoções </w:t>
      </w:r>
      <w:r>
        <w:rPr>
          <w:lang w:val="pt-BR"/>
        </w:rPr>
        <w:t>utiliz</w:t>
      </w:r>
      <w:r w:rsidR="001B41C4">
        <w:rPr>
          <w:lang w:val="pt-BR"/>
        </w:rPr>
        <w:t>ou</w:t>
      </w:r>
      <w:r>
        <w:rPr>
          <w:lang w:val="pt-BR"/>
        </w:rPr>
        <w:t xml:space="preserve"> a abordagem d</w:t>
      </w:r>
      <w:r w:rsidR="001B41C4">
        <w:rPr>
          <w:lang w:val="pt-BR"/>
        </w:rPr>
        <w:t>o IPCC de</w:t>
      </w:r>
      <w:r>
        <w:rPr>
          <w:lang w:val="pt-BR"/>
        </w:rPr>
        <w:t xml:space="preserve"> “ganh</w:t>
      </w:r>
      <w:r w:rsidR="001B41C4">
        <w:rPr>
          <w:lang w:val="pt-BR"/>
        </w:rPr>
        <w:t xml:space="preserve">os e </w:t>
      </w:r>
      <w:r>
        <w:rPr>
          <w:lang w:val="pt-BR"/>
        </w:rPr>
        <w:t>perd</w:t>
      </w:r>
      <w:r w:rsidR="001B41C4">
        <w:rPr>
          <w:lang w:val="pt-BR"/>
        </w:rPr>
        <w:t>as</w:t>
      </w:r>
      <w:r>
        <w:rPr>
          <w:lang w:val="pt-BR"/>
        </w:rPr>
        <w:t xml:space="preserve">”. </w:t>
      </w:r>
      <w:r w:rsidRPr="00B57518">
        <w:rPr>
          <w:lang w:val="pt-BR"/>
        </w:rPr>
        <w:t xml:space="preserve">Isso se deve em função da adoção </w:t>
      </w:r>
      <w:r w:rsidR="00B57518" w:rsidRPr="00B57518">
        <w:rPr>
          <w:lang w:val="pt-BR"/>
        </w:rPr>
        <w:t>do conceito d</w:t>
      </w:r>
      <w:r w:rsidR="00B57518">
        <w:rPr>
          <w:lang w:val="pt-BR"/>
        </w:rPr>
        <w:t>e emissões comprometidas</w:t>
      </w:r>
      <w:r w:rsidR="00C459DC">
        <w:rPr>
          <w:lang w:val="pt-BR"/>
        </w:rPr>
        <w:t>.</w:t>
      </w:r>
    </w:p>
    <w:p w14:paraId="58309ECA" w14:textId="379B60E5" w:rsidR="00C459DC" w:rsidRDefault="00C459DC" w:rsidP="00C459DC">
      <w:pPr>
        <w:jc w:val="both"/>
        <w:rPr>
          <w:lang w:val="pt-BR"/>
        </w:rPr>
      </w:pPr>
      <w:r w:rsidRPr="00EE031A">
        <w:rPr>
          <w:lang w:val="pt-BR"/>
        </w:rPr>
        <w:t>O conceito de emissões comprometidas</w:t>
      </w:r>
      <w:r>
        <w:rPr>
          <w:lang w:val="pt-BR"/>
        </w:rPr>
        <w:t xml:space="preserve"> (ou imediatas) </w:t>
      </w:r>
      <w:r w:rsidRPr="00EE031A">
        <w:rPr>
          <w:lang w:val="pt-BR"/>
        </w:rPr>
        <w:t xml:space="preserve">foi aplicado nos cálculos de emissões, </w:t>
      </w:r>
      <w:r>
        <w:rPr>
          <w:lang w:val="pt-BR"/>
        </w:rPr>
        <w:t>assumindo</w:t>
      </w:r>
      <w:r w:rsidRPr="00EE031A">
        <w:rPr>
          <w:lang w:val="pt-BR"/>
        </w:rPr>
        <w:t xml:space="preserve"> que </w:t>
      </w:r>
      <w:r>
        <w:rPr>
          <w:lang w:val="pt-BR"/>
        </w:rPr>
        <w:t xml:space="preserve">as </w:t>
      </w:r>
      <w:r w:rsidRPr="00EE031A">
        <w:rPr>
          <w:lang w:val="pt-BR"/>
        </w:rPr>
        <w:t xml:space="preserve">emissões </w:t>
      </w:r>
      <w:r>
        <w:rPr>
          <w:lang w:val="pt-BR"/>
        </w:rPr>
        <w:t xml:space="preserve">absolutas devem </w:t>
      </w:r>
      <w:r w:rsidRPr="00EE031A">
        <w:rPr>
          <w:lang w:val="pt-BR"/>
        </w:rPr>
        <w:t>ocorre</w:t>
      </w:r>
      <w:r>
        <w:rPr>
          <w:lang w:val="pt-BR"/>
        </w:rPr>
        <w:t>r</w:t>
      </w:r>
      <w:r w:rsidRPr="00EE031A">
        <w:rPr>
          <w:lang w:val="pt-BR"/>
        </w:rPr>
        <w:t xml:space="preserve"> </w:t>
      </w:r>
      <w:r>
        <w:rPr>
          <w:lang w:val="pt-BR"/>
        </w:rPr>
        <w:t xml:space="preserve">exatamente </w:t>
      </w:r>
      <w:r w:rsidRPr="00EE031A">
        <w:rPr>
          <w:lang w:val="pt-BR"/>
        </w:rPr>
        <w:t xml:space="preserve">no ano em que </w:t>
      </w:r>
      <w:r>
        <w:rPr>
          <w:lang w:val="pt-BR"/>
        </w:rPr>
        <w:t xml:space="preserve">ocorre </w:t>
      </w:r>
      <w:r w:rsidRPr="00EE031A">
        <w:rPr>
          <w:lang w:val="pt-BR"/>
        </w:rPr>
        <w:t>o evento da mudança do uso da terra; já para os cálculos de remoções</w:t>
      </w:r>
      <w:r>
        <w:rPr>
          <w:lang w:val="pt-BR"/>
        </w:rPr>
        <w:t>,</w:t>
      </w:r>
      <w:r w:rsidRPr="00EE031A">
        <w:rPr>
          <w:lang w:val="pt-BR"/>
        </w:rPr>
        <w:t xml:space="preserve"> são aplicados os ganhos anuais dos estoques de carbono como resultado do evento da mudança </w:t>
      </w:r>
      <w:r>
        <w:rPr>
          <w:lang w:val="pt-BR"/>
        </w:rPr>
        <w:t>n</w:t>
      </w:r>
      <w:r w:rsidRPr="00EE031A">
        <w:rPr>
          <w:lang w:val="pt-BR"/>
        </w:rPr>
        <w:t xml:space="preserve">o uso da terra </w:t>
      </w:r>
      <w:r>
        <w:rPr>
          <w:lang w:val="pt-BR"/>
        </w:rPr>
        <w:t xml:space="preserve">durante </w:t>
      </w:r>
      <w:r w:rsidRPr="00EE031A">
        <w:rPr>
          <w:lang w:val="pt-BR"/>
        </w:rPr>
        <w:t xml:space="preserve">o período de referência. </w:t>
      </w:r>
      <w:r>
        <w:rPr>
          <w:lang w:val="pt-BR"/>
        </w:rPr>
        <w:t>Isso quer dizer que</w:t>
      </w:r>
      <w:r w:rsidRPr="00EE031A">
        <w:rPr>
          <w:lang w:val="pt-BR"/>
        </w:rPr>
        <w:t xml:space="preserve"> </w:t>
      </w:r>
      <w:r>
        <w:rPr>
          <w:lang w:val="pt-BR"/>
        </w:rPr>
        <w:t>a transição para florestas não</w:t>
      </w:r>
      <w:r w:rsidRPr="00EE031A">
        <w:rPr>
          <w:lang w:val="pt-BR"/>
        </w:rPr>
        <w:t xml:space="preserve"> garant</w:t>
      </w:r>
      <w:r>
        <w:rPr>
          <w:lang w:val="pt-BR"/>
        </w:rPr>
        <w:t>e</w:t>
      </w:r>
      <w:r w:rsidRPr="00EE031A">
        <w:rPr>
          <w:lang w:val="pt-BR"/>
        </w:rPr>
        <w:t xml:space="preserve"> que </w:t>
      </w:r>
      <w:r>
        <w:rPr>
          <w:lang w:val="pt-BR"/>
        </w:rPr>
        <w:t>o</w:t>
      </w:r>
      <w:r w:rsidRPr="00EE031A">
        <w:rPr>
          <w:lang w:val="pt-BR"/>
        </w:rPr>
        <w:t xml:space="preserve"> novo uso irá continuar remove</w:t>
      </w:r>
      <w:r>
        <w:rPr>
          <w:lang w:val="pt-BR"/>
        </w:rPr>
        <w:t>ndo</w:t>
      </w:r>
      <w:r w:rsidRPr="00EE031A">
        <w:rPr>
          <w:lang w:val="pt-BR"/>
        </w:rPr>
        <w:t xml:space="preserve"> GEE até atingir </w:t>
      </w:r>
      <w:r>
        <w:rPr>
          <w:lang w:val="pt-BR"/>
        </w:rPr>
        <w:t>sua</w:t>
      </w:r>
      <w:r w:rsidRPr="00EE031A">
        <w:rPr>
          <w:lang w:val="pt-BR"/>
        </w:rPr>
        <w:t xml:space="preserve"> maturidade. Assim, </w:t>
      </w:r>
      <w:r>
        <w:rPr>
          <w:lang w:val="pt-BR"/>
        </w:rPr>
        <w:t>aplicou-se</w:t>
      </w:r>
      <w:r w:rsidRPr="00EE031A">
        <w:rPr>
          <w:lang w:val="pt-BR"/>
        </w:rPr>
        <w:t xml:space="preserve"> </w:t>
      </w:r>
      <w:r>
        <w:rPr>
          <w:lang w:val="pt-BR"/>
        </w:rPr>
        <w:t>uma taxa de</w:t>
      </w:r>
      <w:r w:rsidRPr="00EE031A">
        <w:rPr>
          <w:lang w:val="pt-BR"/>
        </w:rPr>
        <w:t xml:space="preserve"> crescimento anual </w:t>
      </w:r>
      <w:r>
        <w:rPr>
          <w:lang w:val="pt-BR"/>
        </w:rPr>
        <w:t xml:space="preserve">(congruente com a taxa aplicada pelo </w:t>
      </w:r>
      <w:r w:rsidRPr="006E4D65">
        <w:rPr>
          <w:rFonts w:ascii="Calibri" w:hAnsi="Calibri" w:cs="Calibri"/>
          <w:color w:val="000000"/>
          <w:lang w:val="pt-BR"/>
        </w:rPr>
        <w:t>III Inventario Nacional de GEE</w:t>
      </w:r>
      <w:r>
        <w:rPr>
          <w:rFonts w:ascii="Calibri" w:hAnsi="Calibri" w:cs="Calibri"/>
          <w:color w:val="000000"/>
          <w:lang w:val="pt-BR"/>
        </w:rPr>
        <w:t xml:space="preserve"> (</w:t>
      </w:r>
      <w:r w:rsidRPr="006E4D65">
        <w:rPr>
          <w:rFonts w:ascii="Calibri" w:hAnsi="Calibri" w:cs="Calibri"/>
          <w:color w:val="000000"/>
          <w:lang w:val="pt-BR"/>
        </w:rPr>
        <w:t>MCTI (2015</w:t>
      </w:r>
      <w:r>
        <w:rPr>
          <w:rFonts w:ascii="Calibri" w:hAnsi="Calibri" w:cs="Calibri"/>
          <w:color w:val="000000"/>
          <w:lang w:val="pt-BR"/>
        </w:rPr>
        <w:t>)</w:t>
      </w:r>
      <w:r>
        <w:rPr>
          <w:lang w:val="pt-BR"/>
        </w:rPr>
        <w:t xml:space="preserve"> </w:t>
      </w:r>
      <w:r w:rsidRPr="00EE031A">
        <w:rPr>
          <w:lang w:val="pt-BR"/>
        </w:rPr>
        <w:t>para uma determinada</w:t>
      </w:r>
      <w:r>
        <w:rPr>
          <w:lang w:val="pt-BR"/>
        </w:rPr>
        <w:t xml:space="preserve"> área de transição de floresta </w:t>
      </w:r>
      <w:r w:rsidRPr="00EE031A">
        <w:rPr>
          <w:lang w:val="pt-BR"/>
        </w:rPr>
        <w:t xml:space="preserve">que permanece </w:t>
      </w:r>
      <w:r>
        <w:rPr>
          <w:lang w:val="pt-BR"/>
        </w:rPr>
        <w:t>floresta</w:t>
      </w:r>
      <w:r w:rsidRPr="00EE031A">
        <w:rPr>
          <w:lang w:val="pt-BR"/>
        </w:rPr>
        <w:t xml:space="preserve">. Por exemplo, uma floresta </w:t>
      </w:r>
      <w:r>
        <w:rPr>
          <w:lang w:val="pt-BR"/>
        </w:rPr>
        <w:t xml:space="preserve">madura, </w:t>
      </w:r>
      <w:r w:rsidRPr="00EE031A">
        <w:rPr>
          <w:lang w:val="pt-BR"/>
        </w:rPr>
        <w:t xml:space="preserve">com </w:t>
      </w:r>
      <w:r>
        <w:rPr>
          <w:lang w:val="pt-BR"/>
        </w:rPr>
        <w:t>alto</w:t>
      </w:r>
      <w:r w:rsidRPr="00EE031A">
        <w:rPr>
          <w:lang w:val="pt-BR"/>
        </w:rPr>
        <w:t xml:space="preserve"> estoque de carbono</w:t>
      </w:r>
      <w:r>
        <w:rPr>
          <w:lang w:val="pt-BR"/>
        </w:rPr>
        <w:t>, apresenta um</w:t>
      </w:r>
      <w:r w:rsidRPr="00EE031A">
        <w:rPr>
          <w:lang w:val="pt-BR"/>
        </w:rPr>
        <w:t xml:space="preserve"> acúmulo </w:t>
      </w:r>
      <w:r>
        <w:rPr>
          <w:lang w:val="pt-BR"/>
        </w:rPr>
        <w:t>anual de carbono baixo, devido ao</w:t>
      </w:r>
      <w:r w:rsidRPr="00EE031A">
        <w:rPr>
          <w:lang w:val="pt-BR"/>
        </w:rPr>
        <w:t xml:space="preserve"> crescimento lento das </w:t>
      </w:r>
      <w:r>
        <w:rPr>
          <w:lang w:val="pt-BR"/>
        </w:rPr>
        <w:t>á</w:t>
      </w:r>
      <w:r w:rsidRPr="00EE031A">
        <w:rPr>
          <w:lang w:val="pt-BR"/>
        </w:rPr>
        <w:t>rvores</w:t>
      </w:r>
      <w:r>
        <w:rPr>
          <w:lang w:val="pt-BR"/>
        </w:rPr>
        <w:t xml:space="preserve"> longevas</w:t>
      </w:r>
      <w:r w:rsidRPr="00EE031A">
        <w:rPr>
          <w:lang w:val="pt-BR"/>
        </w:rPr>
        <w:t xml:space="preserve">; </w:t>
      </w:r>
      <w:r>
        <w:rPr>
          <w:lang w:val="pt-BR"/>
        </w:rPr>
        <w:t>por outro lado,</w:t>
      </w:r>
      <w:r w:rsidRPr="00EE031A">
        <w:rPr>
          <w:lang w:val="pt-BR"/>
        </w:rPr>
        <w:t xml:space="preserve"> florestas</w:t>
      </w:r>
      <w:r>
        <w:rPr>
          <w:lang w:val="pt-BR"/>
        </w:rPr>
        <w:t xml:space="preserve"> jovens crescem rapidamente, acumulando carbono em uma taxa mais elevada que florestas maduras</w:t>
      </w:r>
      <w:r w:rsidRPr="0059600C">
        <w:rPr>
          <w:lang w:val="pt-BR"/>
        </w:rPr>
        <w:t xml:space="preserve"> </w:t>
      </w:r>
      <w:r>
        <w:rPr>
          <w:lang w:val="pt-BR"/>
        </w:rPr>
        <w:t xml:space="preserve">nos seus primeiros anos. Estas florestas também podem sofrer </w:t>
      </w:r>
      <w:r w:rsidRPr="00EE031A">
        <w:rPr>
          <w:lang w:val="pt-BR"/>
        </w:rPr>
        <w:t>distúrbio</w:t>
      </w:r>
      <w:r>
        <w:rPr>
          <w:lang w:val="pt-BR"/>
        </w:rPr>
        <w:t>s</w:t>
      </w:r>
      <w:r w:rsidRPr="00EE031A">
        <w:rPr>
          <w:lang w:val="pt-BR"/>
        </w:rPr>
        <w:t xml:space="preserve"> durante o seu crescimento, como </w:t>
      </w:r>
      <w:r>
        <w:rPr>
          <w:lang w:val="pt-BR"/>
        </w:rPr>
        <w:t>queimadas</w:t>
      </w:r>
      <w:r w:rsidRPr="00EE031A">
        <w:rPr>
          <w:lang w:val="pt-BR"/>
        </w:rPr>
        <w:t>, extração de madeira ou desmatamento</w:t>
      </w:r>
      <w:r>
        <w:rPr>
          <w:lang w:val="pt-BR"/>
        </w:rPr>
        <w:t xml:space="preserve"> e, consequentemente, nunca chegar a atingir o estoque de carbono encontrado numa floresta madura. Nesse sentido, diferentemente do cálculo de emissões, o conceito de remoções comprometidas/imediatas não deve ser empregado nos cálculos de remoções.</w:t>
      </w:r>
    </w:p>
    <w:p w14:paraId="5C488572" w14:textId="77777777" w:rsidR="00C459DC" w:rsidRDefault="00C459DC" w:rsidP="00C459DC">
      <w:pPr>
        <w:jc w:val="both"/>
        <w:rPr>
          <w:lang w:val="pt-BR"/>
        </w:rPr>
      </w:pPr>
      <w:r w:rsidRPr="00EE031A">
        <w:rPr>
          <w:lang w:val="pt-BR"/>
        </w:rPr>
        <w:t>O sinal negativo</w:t>
      </w:r>
      <w:r>
        <w:rPr>
          <w:lang w:val="pt-BR"/>
        </w:rPr>
        <w:t xml:space="preserve"> associado às remoções é </w:t>
      </w:r>
      <w:r w:rsidRPr="00EE031A">
        <w:rPr>
          <w:lang w:val="pt-BR"/>
        </w:rPr>
        <w:t>sugerido pelo IPCC</w:t>
      </w:r>
      <w:r>
        <w:rPr>
          <w:lang w:val="pt-BR"/>
        </w:rPr>
        <w:t xml:space="preserve"> simplesmente para contrapor</w:t>
      </w:r>
      <w:r w:rsidRPr="00EE031A">
        <w:rPr>
          <w:lang w:val="pt-BR"/>
        </w:rPr>
        <w:t xml:space="preserve"> </w:t>
      </w:r>
      <w:r>
        <w:rPr>
          <w:lang w:val="pt-BR"/>
        </w:rPr>
        <w:t>com sinal positivo das</w:t>
      </w:r>
      <w:r w:rsidRPr="00EE031A">
        <w:rPr>
          <w:lang w:val="pt-BR"/>
        </w:rPr>
        <w:t xml:space="preserve"> emissões; </w:t>
      </w:r>
      <w:r>
        <w:rPr>
          <w:lang w:val="pt-BR"/>
        </w:rPr>
        <w:t>porém,</w:t>
      </w:r>
      <w:r w:rsidRPr="00EE031A">
        <w:rPr>
          <w:lang w:val="pt-BR"/>
        </w:rPr>
        <w:t xml:space="preserve"> o valor absoluto demonstra o potencial verdadeiro </w:t>
      </w:r>
      <w:r>
        <w:rPr>
          <w:lang w:val="pt-BR"/>
        </w:rPr>
        <w:t>de</w:t>
      </w:r>
      <w:r w:rsidRPr="00EE031A">
        <w:rPr>
          <w:lang w:val="pt-BR"/>
        </w:rPr>
        <w:t xml:space="preserve"> mitigação</w:t>
      </w:r>
      <w:r>
        <w:rPr>
          <w:lang w:val="pt-BR"/>
        </w:rPr>
        <w:t xml:space="preserve"> da restauração/regeneração em paisagens florestais.</w:t>
      </w:r>
      <w:r w:rsidRPr="00EE031A">
        <w:rPr>
          <w:lang w:val="pt-BR"/>
        </w:rPr>
        <w:t xml:space="preserve"> </w:t>
      </w:r>
    </w:p>
    <w:p w14:paraId="531B338B" w14:textId="24AABC0F" w:rsidR="00A770F0" w:rsidRDefault="00B744EE" w:rsidP="002103AD">
      <w:pPr>
        <w:jc w:val="both"/>
        <w:rPr>
          <w:lang w:val="pt-BR"/>
        </w:rPr>
      </w:pPr>
      <w:r>
        <w:rPr>
          <w:lang w:val="pt-BR"/>
        </w:rPr>
        <w:t>Emissões e remoções das transições de mudanças do uso da terra estimado para o estado de São Paulo foram relativamente estáveis durante o período de referência (em função d</w:t>
      </w:r>
      <w:r w:rsidR="00F13E5D">
        <w:rPr>
          <w:lang w:val="pt-BR"/>
        </w:rPr>
        <w:t>a</w:t>
      </w:r>
      <w:r>
        <w:rPr>
          <w:lang w:val="pt-BR"/>
        </w:rPr>
        <w:t xml:space="preserve"> </w:t>
      </w:r>
      <w:r w:rsidR="00F13E5D">
        <w:rPr>
          <w:lang w:val="pt-BR"/>
        </w:rPr>
        <w:t>relativa</w:t>
      </w:r>
      <w:r>
        <w:rPr>
          <w:lang w:val="pt-BR"/>
        </w:rPr>
        <w:t xml:space="preserve"> est</w:t>
      </w:r>
      <w:r w:rsidR="00F13E5D">
        <w:rPr>
          <w:lang w:val="pt-BR"/>
        </w:rPr>
        <w:t>abilidade na</w:t>
      </w:r>
      <w:r>
        <w:rPr>
          <w:lang w:val="pt-BR"/>
        </w:rPr>
        <w:t xml:space="preserve"> conversão entre</w:t>
      </w:r>
      <w:r w:rsidR="00F13E5D">
        <w:rPr>
          <w:lang w:val="pt-BR"/>
        </w:rPr>
        <w:t xml:space="preserve"> os</w:t>
      </w:r>
      <w:r>
        <w:rPr>
          <w:lang w:val="pt-BR"/>
        </w:rPr>
        <w:t xml:space="preserve"> usos da terra observado entre 20</w:t>
      </w:r>
      <w:r w:rsidR="00142C54">
        <w:rPr>
          <w:lang w:val="pt-BR"/>
        </w:rPr>
        <w:t>1</w:t>
      </w:r>
      <w:r>
        <w:rPr>
          <w:lang w:val="pt-BR"/>
        </w:rPr>
        <w:t>0-201</w:t>
      </w:r>
      <w:r w:rsidR="00142C54">
        <w:rPr>
          <w:lang w:val="pt-BR"/>
        </w:rPr>
        <w:t>9</w:t>
      </w:r>
      <w:r w:rsidR="00201C53">
        <w:rPr>
          <w:lang w:val="pt-BR"/>
        </w:rPr>
        <w:t>)</w:t>
      </w:r>
      <w:r w:rsidR="00F13E5D">
        <w:rPr>
          <w:lang w:val="pt-BR"/>
        </w:rPr>
        <w:t xml:space="preserve"> </w:t>
      </w:r>
      <w:r w:rsidR="00162F09">
        <w:rPr>
          <w:lang w:val="pt-BR"/>
        </w:rPr>
        <w:t xml:space="preserve">(figura </w:t>
      </w:r>
      <w:r w:rsidR="00E8319D">
        <w:rPr>
          <w:lang w:val="pt-BR"/>
        </w:rPr>
        <w:t>4</w:t>
      </w:r>
      <w:r w:rsidR="00162F09">
        <w:rPr>
          <w:lang w:val="pt-BR"/>
        </w:rPr>
        <w:t xml:space="preserve">). </w:t>
      </w:r>
      <w:r w:rsidR="00162F09" w:rsidRPr="00162F09">
        <w:rPr>
          <w:lang w:val="pt-BR"/>
        </w:rPr>
        <w:t xml:space="preserve">Mesmo assim as estimativas indicaram que o estado emitiu </w:t>
      </w:r>
      <w:r w:rsidR="00F13E5D">
        <w:rPr>
          <w:lang w:val="pt-BR"/>
        </w:rPr>
        <w:t>uma média</w:t>
      </w:r>
      <w:r w:rsidR="00162F09">
        <w:rPr>
          <w:lang w:val="pt-BR"/>
        </w:rPr>
        <w:t xml:space="preserve"> equivalente a </w:t>
      </w:r>
      <w:r w:rsidR="00CB227B">
        <w:rPr>
          <w:lang w:val="pt-BR"/>
        </w:rPr>
        <w:t>13,9</w:t>
      </w:r>
      <w:r w:rsidR="00162F09">
        <w:rPr>
          <w:lang w:val="pt-BR"/>
        </w:rPr>
        <w:t xml:space="preserve"> milhões de tCO</w:t>
      </w:r>
      <w:r w:rsidR="00162F09">
        <w:rPr>
          <w:vertAlign w:val="subscript"/>
          <w:lang w:val="pt-BR"/>
        </w:rPr>
        <w:t>2</w:t>
      </w:r>
      <w:r w:rsidR="00162F09">
        <w:rPr>
          <w:lang w:val="pt-BR"/>
        </w:rPr>
        <w:t>e/ano como resultado das transições entre 20</w:t>
      </w:r>
      <w:r w:rsidR="00CB227B">
        <w:rPr>
          <w:lang w:val="pt-BR"/>
        </w:rPr>
        <w:t>1</w:t>
      </w:r>
      <w:r w:rsidR="00162F09">
        <w:rPr>
          <w:lang w:val="pt-BR"/>
        </w:rPr>
        <w:t>0-201</w:t>
      </w:r>
      <w:r w:rsidR="00CB227B">
        <w:rPr>
          <w:lang w:val="pt-BR"/>
        </w:rPr>
        <w:t>9</w:t>
      </w:r>
      <w:r w:rsidR="00162F09">
        <w:rPr>
          <w:lang w:val="pt-BR"/>
        </w:rPr>
        <w:t xml:space="preserve">, variando de </w:t>
      </w:r>
      <w:r w:rsidR="00CB227B">
        <w:rPr>
          <w:lang w:val="pt-BR"/>
        </w:rPr>
        <w:t>8</w:t>
      </w:r>
      <w:r w:rsidR="00F13E5D">
        <w:rPr>
          <w:lang w:val="pt-BR"/>
        </w:rPr>
        <w:t>,</w:t>
      </w:r>
      <w:r w:rsidR="00CB227B">
        <w:rPr>
          <w:lang w:val="pt-BR"/>
        </w:rPr>
        <w:t>5</w:t>
      </w:r>
      <w:r w:rsidR="00162F09">
        <w:rPr>
          <w:lang w:val="pt-BR"/>
        </w:rPr>
        <w:t xml:space="preserve"> milhões tCO</w:t>
      </w:r>
      <w:r w:rsidR="00162F09">
        <w:rPr>
          <w:vertAlign w:val="subscript"/>
          <w:lang w:val="pt-BR"/>
        </w:rPr>
        <w:t>2</w:t>
      </w:r>
      <w:r w:rsidR="00162F09">
        <w:rPr>
          <w:lang w:val="pt-BR"/>
        </w:rPr>
        <w:t xml:space="preserve">e/ano </w:t>
      </w:r>
      <w:r w:rsidR="00CD07A4">
        <w:rPr>
          <w:lang w:val="pt-BR"/>
        </w:rPr>
        <w:t>em</w:t>
      </w:r>
      <w:r w:rsidR="00162F09">
        <w:rPr>
          <w:lang w:val="pt-BR"/>
        </w:rPr>
        <w:t xml:space="preserve"> </w:t>
      </w:r>
      <w:r w:rsidR="00F13E5D">
        <w:rPr>
          <w:lang w:val="pt-BR"/>
        </w:rPr>
        <w:t>201</w:t>
      </w:r>
      <w:r w:rsidR="00CB227B">
        <w:rPr>
          <w:lang w:val="pt-BR"/>
        </w:rPr>
        <w:t>8</w:t>
      </w:r>
      <w:r w:rsidR="00162F09">
        <w:rPr>
          <w:lang w:val="pt-BR"/>
        </w:rPr>
        <w:t xml:space="preserve"> para </w:t>
      </w:r>
      <w:r w:rsidR="00F13E5D">
        <w:rPr>
          <w:lang w:val="pt-BR"/>
        </w:rPr>
        <w:t>1</w:t>
      </w:r>
      <w:r w:rsidR="00CB227B">
        <w:rPr>
          <w:lang w:val="pt-BR"/>
        </w:rPr>
        <w:t>7</w:t>
      </w:r>
      <w:r w:rsidR="00F13E5D">
        <w:rPr>
          <w:lang w:val="pt-BR"/>
        </w:rPr>
        <w:t>,</w:t>
      </w:r>
      <w:r w:rsidR="00CB227B">
        <w:rPr>
          <w:lang w:val="pt-BR"/>
        </w:rPr>
        <w:t>4</w:t>
      </w:r>
      <w:r w:rsidR="00162F09">
        <w:rPr>
          <w:lang w:val="pt-BR"/>
        </w:rPr>
        <w:t xml:space="preserve"> milhões tCO</w:t>
      </w:r>
      <w:r w:rsidR="00162F09">
        <w:rPr>
          <w:vertAlign w:val="subscript"/>
          <w:lang w:val="pt-BR"/>
        </w:rPr>
        <w:t>2</w:t>
      </w:r>
      <w:r w:rsidR="00162F09">
        <w:rPr>
          <w:lang w:val="pt-BR"/>
        </w:rPr>
        <w:t xml:space="preserve">e/ano </w:t>
      </w:r>
      <w:r w:rsidR="00CD07A4">
        <w:rPr>
          <w:lang w:val="pt-BR"/>
        </w:rPr>
        <w:t>em</w:t>
      </w:r>
      <w:r w:rsidR="00162F09">
        <w:rPr>
          <w:lang w:val="pt-BR"/>
        </w:rPr>
        <w:t xml:space="preserve"> </w:t>
      </w:r>
      <w:r w:rsidR="00F13E5D">
        <w:rPr>
          <w:lang w:val="pt-BR"/>
        </w:rPr>
        <w:t>20</w:t>
      </w:r>
      <w:r w:rsidR="00CB227B">
        <w:rPr>
          <w:lang w:val="pt-BR"/>
        </w:rPr>
        <w:t>13</w:t>
      </w:r>
      <w:r w:rsidR="00162F09">
        <w:rPr>
          <w:lang w:val="pt-BR"/>
        </w:rPr>
        <w:t>.</w:t>
      </w:r>
    </w:p>
    <w:p w14:paraId="3005A010" w14:textId="77777777" w:rsidR="00954878" w:rsidRPr="00162F09" w:rsidRDefault="00954878" w:rsidP="002103AD">
      <w:pPr>
        <w:jc w:val="both"/>
        <w:rPr>
          <w:lang w:val="pt-BR"/>
        </w:rPr>
      </w:pPr>
    </w:p>
    <w:p w14:paraId="49AA260E" w14:textId="1921A090" w:rsidR="001C24E1" w:rsidRDefault="00CB227B" w:rsidP="002103AD">
      <w:pPr>
        <w:jc w:val="both"/>
      </w:pPr>
      <w:r>
        <w:rPr>
          <w:noProof/>
        </w:rPr>
        <w:lastRenderedPageBreak/>
        <w:drawing>
          <wp:inline distT="0" distB="0" distL="0" distR="0" wp14:anchorId="3A19701B" wp14:editId="079A733F">
            <wp:extent cx="4988560" cy="2705100"/>
            <wp:effectExtent l="0" t="0" r="2540" b="0"/>
            <wp:docPr id="4" name="Gráfico 4">
              <a:extLst xmlns:a="http://schemas.openxmlformats.org/drawingml/2006/main">
                <a:ext uri="{FF2B5EF4-FFF2-40B4-BE49-F238E27FC236}">
                  <a16:creationId xmlns:a16="http://schemas.microsoft.com/office/drawing/2014/main" id="{CF6D6A74-A542-4EEB-A717-A2179D9FAEC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1F82B9CF" w14:textId="001B964D" w:rsidR="001C24E1" w:rsidRPr="00677E17" w:rsidRDefault="009C567E" w:rsidP="009C567E">
      <w:pPr>
        <w:pStyle w:val="Caption"/>
        <w:rPr>
          <w:lang w:val="pt-BR"/>
        </w:rPr>
      </w:pPr>
      <w:bookmarkStart w:id="5" w:name="_Ref26704834"/>
      <w:r w:rsidRPr="009C567E">
        <w:rPr>
          <w:lang w:val="pt-BR"/>
        </w:rPr>
        <w:t xml:space="preserve">Figura </w:t>
      </w:r>
      <w:r w:rsidR="00E8319D">
        <w:rPr>
          <w:lang w:val="pt-BR"/>
        </w:rPr>
        <w:t>4</w:t>
      </w:r>
      <w:bookmarkEnd w:id="5"/>
      <w:r w:rsidR="001C24E1" w:rsidRPr="00FA32E4">
        <w:rPr>
          <w:lang w:val="pt-BR"/>
        </w:rPr>
        <w:t xml:space="preserve">: </w:t>
      </w:r>
      <w:r w:rsidR="00FA32E4" w:rsidRPr="00FA32E4">
        <w:rPr>
          <w:lang w:val="pt-BR"/>
        </w:rPr>
        <w:t>Emissões totais e remoções estimados como resultado das mudanças de uso da</w:t>
      </w:r>
      <w:r w:rsidR="00FA32E4">
        <w:rPr>
          <w:lang w:val="pt-BR"/>
        </w:rPr>
        <w:t xml:space="preserve"> terra no estado de SP. </w:t>
      </w:r>
    </w:p>
    <w:p w14:paraId="1314F72C" w14:textId="77777777" w:rsidR="00C5510F" w:rsidRPr="00A132BE" w:rsidRDefault="00C5510F" w:rsidP="00DB3A6D">
      <w:pPr>
        <w:jc w:val="both"/>
        <w:rPr>
          <w:lang w:val="pt-BR"/>
        </w:rPr>
      </w:pPr>
    </w:p>
    <w:p w14:paraId="139014E2" w14:textId="1BDF0684" w:rsidR="00C459DC" w:rsidRDefault="00C459DC" w:rsidP="00C459DC">
      <w:pPr>
        <w:jc w:val="both"/>
        <w:rPr>
          <w:lang w:val="pt-BR"/>
        </w:rPr>
      </w:pPr>
      <w:r w:rsidRPr="00EE031A">
        <w:rPr>
          <w:lang w:val="pt-BR"/>
        </w:rPr>
        <w:t xml:space="preserve">Nota-se que </w:t>
      </w:r>
      <w:r>
        <w:rPr>
          <w:lang w:val="pt-BR"/>
        </w:rPr>
        <w:t>a</w:t>
      </w:r>
      <w:r w:rsidRPr="00EE031A">
        <w:rPr>
          <w:lang w:val="pt-BR"/>
        </w:rPr>
        <w:t xml:space="preserve"> principal contribui</w:t>
      </w:r>
      <w:r>
        <w:rPr>
          <w:lang w:val="pt-BR"/>
        </w:rPr>
        <w:t>ção para as emissões</w:t>
      </w:r>
      <w:r w:rsidRPr="00EE031A">
        <w:rPr>
          <w:lang w:val="pt-BR"/>
        </w:rPr>
        <w:t xml:space="preserve"> </w:t>
      </w:r>
      <w:r>
        <w:rPr>
          <w:lang w:val="pt-BR"/>
        </w:rPr>
        <w:t>de mudança de uso da terra em</w:t>
      </w:r>
      <w:r w:rsidRPr="00EE031A">
        <w:rPr>
          <w:lang w:val="pt-BR"/>
        </w:rPr>
        <w:t xml:space="preserve"> </w:t>
      </w:r>
      <w:r>
        <w:rPr>
          <w:lang w:val="pt-BR"/>
        </w:rPr>
        <w:t>São Paulo</w:t>
      </w:r>
      <w:r w:rsidRPr="00EE031A">
        <w:rPr>
          <w:lang w:val="pt-BR"/>
        </w:rPr>
        <w:t xml:space="preserve"> </w:t>
      </w:r>
      <w:r>
        <w:rPr>
          <w:lang w:val="pt-BR"/>
        </w:rPr>
        <w:t>é,</w:t>
      </w:r>
      <w:r w:rsidRPr="00EE031A">
        <w:rPr>
          <w:lang w:val="pt-BR"/>
        </w:rPr>
        <w:t xml:space="preserve"> </w:t>
      </w:r>
      <w:r>
        <w:rPr>
          <w:lang w:val="pt-BR"/>
        </w:rPr>
        <w:t>principalmente,</w:t>
      </w:r>
      <w:r w:rsidRPr="00EE031A">
        <w:rPr>
          <w:lang w:val="pt-BR"/>
        </w:rPr>
        <w:t xml:space="preserve"> </w:t>
      </w:r>
      <w:r w:rsidR="00954878">
        <w:rPr>
          <w:lang w:val="pt-BR"/>
        </w:rPr>
        <w:t>d</w:t>
      </w:r>
      <w:r w:rsidRPr="00EE031A">
        <w:rPr>
          <w:lang w:val="pt-BR"/>
        </w:rPr>
        <w:t xml:space="preserve">a </w:t>
      </w:r>
      <w:r>
        <w:rPr>
          <w:lang w:val="pt-BR"/>
        </w:rPr>
        <w:t>transição</w:t>
      </w:r>
      <w:r w:rsidRPr="00EE031A">
        <w:rPr>
          <w:lang w:val="pt-BR"/>
        </w:rPr>
        <w:t xml:space="preserve"> </w:t>
      </w:r>
      <w:r>
        <w:rPr>
          <w:lang w:val="pt-BR"/>
        </w:rPr>
        <w:t>para</w:t>
      </w:r>
      <w:r w:rsidRPr="00EE031A">
        <w:rPr>
          <w:lang w:val="pt-BR"/>
        </w:rPr>
        <w:t xml:space="preserve"> </w:t>
      </w:r>
      <w:r w:rsidR="00201C53">
        <w:rPr>
          <w:lang w:val="pt-BR"/>
        </w:rPr>
        <w:t xml:space="preserve">a </w:t>
      </w:r>
      <w:r>
        <w:rPr>
          <w:lang w:val="pt-BR"/>
        </w:rPr>
        <w:t>Agricultura</w:t>
      </w:r>
      <w:r w:rsidR="00201C53">
        <w:rPr>
          <w:lang w:val="pt-BR"/>
        </w:rPr>
        <w:t>.</w:t>
      </w:r>
      <w:r w:rsidR="00B159F1">
        <w:rPr>
          <w:lang w:val="pt-BR"/>
        </w:rPr>
        <w:t xml:space="preserve"> </w:t>
      </w:r>
      <w:r w:rsidR="00201C53">
        <w:rPr>
          <w:lang w:val="pt-BR"/>
        </w:rPr>
        <w:t>E</w:t>
      </w:r>
      <w:r>
        <w:rPr>
          <w:lang w:val="pt-BR"/>
        </w:rPr>
        <w:t xml:space="preserve">m seguida </w:t>
      </w:r>
      <w:r w:rsidR="00954878">
        <w:rPr>
          <w:lang w:val="pt-BR"/>
        </w:rPr>
        <w:t xml:space="preserve">vem </w:t>
      </w:r>
      <w:r>
        <w:rPr>
          <w:lang w:val="pt-BR"/>
        </w:rPr>
        <w:t>a transição para formações campestres</w:t>
      </w:r>
      <w:r w:rsidR="00201C53">
        <w:rPr>
          <w:lang w:val="pt-BR"/>
        </w:rPr>
        <w:t xml:space="preserve">, </w:t>
      </w:r>
      <w:r>
        <w:rPr>
          <w:lang w:val="pt-BR"/>
        </w:rPr>
        <w:t>também significativa em termos de emissões, apresentando uma predominância da transição de usos da terra para pastagens. Contudo, a remoção de GEE por áreas convertidas à floresta tem mitigado historicamente uma porção significativa das emissões</w:t>
      </w:r>
      <w:r w:rsidR="00201C53">
        <w:rPr>
          <w:lang w:val="pt-BR"/>
        </w:rPr>
        <w:t>,</w:t>
      </w:r>
      <w:r>
        <w:rPr>
          <w:lang w:val="pt-BR"/>
        </w:rPr>
        <w:t xml:space="preserve"> tendência que pode aumentar em São Paulo a partir da regularização </w:t>
      </w:r>
      <w:r w:rsidR="00954878">
        <w:rPr>
          <w:lang w:val="pt-BR"/>
        </w:rPr>
        <w:t>dos imóveis</w:t>
      </w:r>
      <w:r>
        <w:rPr>
          <w:lang w:val="pt-BR"/>
        </w:rPr>
        <w:t xml:space="preserve"> rurais, em função da implementação do </w:t>
      </w:r>
      <w:r w:rsidR="00954878">
        <w:rPr>
          <w:lang w:val="pt-BR"/>
        </w:rPr>
        <w:t>Lei da Vegetação Nativa</w:t>
      </w:r>
      <w:r>
        <w:rPr>
          <w:lang w:val="pt-BR"/>
        </w:rPr>
        <w:t xml:space="preserve"> de 2012</w:t>
      </w:r>
      <w:r>
        <w:rPr>
          <w:rStyle w:val="FootnoteReference"/>
          <w:lang w:val="pt-BR"/>
        </w:rPr>
        <w:footnoteReference w:id="5"/>
      </w:r>
      <w:r>
        <w:rPr>
          <w:lang w:val="pt-BR"/>
        </w:rPr>
        <w:t>.</w:t>
      </w:r>
    </w:p>
    <w:p w14:paraId="61124335" w14:textId="60912F9D" w:rsidR="00C459DC" w:rsidRDefault="00C459DC" w:rsidP="00C459DC">
      <w:pPr>
        <w:jc w:val="both"/>
        <w:rPr>
          <w:lang w:val="pt-BR"/>
        </w:rPr>
      </w:pPr>
      <w:r w:rsidRPr="00C459DC">
        <w:rPr>
          <w:lang w:val="pt-BR"/>
        </w:rPr>
        <w:t xml:space="preserve">A </w:t>
      </w:r>
      <w:r w:rsidRPr="00DB3A6D">
        <w:rPr>
          <w:lang w:val="pt-BR"/>
        </w:rPr>
        <w:t xml:space="preserve">Figura </w:t>
      </w:r>
      <w:r w:rsidR="00E8319D">
        <w:rPr>
          <w:lang w:val="pt-BR"/>
        </w:rPr>
        <w:t>5</w:t>
      </w:r>
      <w:r w:rsidRPr="00DB3A6D">
        <w:rPr>
          <w:lang w:val="pt-BR"/>
        </w:rPr>
        <w:t xml:space="preserve"> apresenta o total de emissões e remoções desagregadas para as mudanças de uso da terra e apresenta um</w:t>
      </w:r>
      <w:r>
        <w:rPr>
          <w:lang w:val="pt-BR"/>
        </w:rPr>
        <w:t>a estabilidade</w:t>
      </w:r>
      <w:r w:rsidRPr="00DB3A6D">
        <w:rPr>
          <w:lang w:val="pt-BR"/>
        </w:rPr>
        <w:t xml:space="preserve"> das emissões de áreas para pastagem</w:t>
      </w:r>
      <w:r>
        <w:rPr>
          <w:lang w:val="pt-BR"/>
        </w:rPr>
        <w:t xml:space="preserve"> (formação campestre)</w:t>
      </w:r>
      <w:r w:rsidRPr="00DB3A6D">
        <w:rPr>
          <w:lang w:val="pt-BR"/>
        </w:rPr>
        <w:t xml:space="preserve"> e um aumento das </w:t>
      </w:r>
      <w:r>
        <w:rPr>
          <w:lang w:val="pt-BR"/>
        </w:rPr>
        <w:t xml:space="preserve">emissões de áreas convertidas para terras agrícolas </w:t>
      </w:r>
      <w:r w:rsidRPr="00173A9F">
        <w:rPr>
          <w:lang w:val="pt-BR"/>
        </w:rPr>
        <w:t>entre 20</w:t>
      </w:r>
      <w:r w:rsidR="00173A9F" w:rsidRPr="00173A9F">
        <w:rPr>
          <w:lang w:val="pt-BR"/>
        </w:rPr>
        <w:t>15</w:t>
      </w:r>
      <w:r w:rsidRPr="00173A9F">
        <w:rPr>
          <w:lang w:val="pt-BR"/>
        </w:rPr>
        <w:t>-201</w:t>
      </w:r>
      <w:r w:rsidR="00173A9F" w:rsidRPr="00173A9F">
        <w:rPr>
          <w:lang w:val="pt-BR"/>
        </w:rPr>
        <w:t>7</w:t>
      </w:r>
      <w:r>
        <w:rPr>
          <w:lang w:val="pt-BR"/>
        </w:rPr>
        <w:t xml:space="preserve">. </w:t>
      </w:r>
    </w:p>
    <w:p w14:paraId="4FC8AFEF" w14:textId="77777777" w:rsidR="00C459DC" w:rsidRPr="00EE031A" w:rsidRDefault="00C459DC" w:rsidP="00C459DC">
      <w:pPr>
        <w:jc w:val="both"/>
        <w:rPr>
          <w:lang w:val="pt-BR"/>
        </w:rPr>
      </w:pPr>
    </w:p>
    <w:p w14:paraId="3FA0B6C2" w14:textId="14624CF8" w:rsidR="00C459DC" w:rsidRDefault="00E8319D" w:rsidP="00DB3A6D">
      <w:pPr>
        <w:jc w:val="both"/>
        <w:rPr>
          <w:lang w:val="pt-BR"/>
        </w:rPr>
      </w:pPr>
      <w:r>
        <w:rPr>
          <w:noProof/>
        </w:rPr>
        <w:lastRenderedPageBreak/>
        <w:drawing>
          <wp:inline distT="0" distB="0" distL="0" distR="0" wp14:anchorId="486B9EC9" wp14:editId="43E825DD">
            <wp:extent cx="5400040" cy="2800350"/>
            <wp:effectExtent l="0" t="0" r="10160" b="0"/>
            <wp:docPr id="17" name="Gráfico 17">
              <a:extLst xmlns:a="http://schemas.openxmlformats.org/drawingml/2006/main">
                <a:ext uri="{FF2B5EF4-FFF2-40B4-BE49-F238E27FC236}">
                  <a16:creationId xmlns:a16="http://schemas.microsoft.com/office/drawing/2014/main" id="{F66CE2F9-750A-4220-B6E8-A5C2F269510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4740C137" w14:textId="3FB9F9B8" w:rsidR="00954878" w:rsidRDefault="006F4700" w:rsidP="006F4700">
      <w:pPr>
        <w:jc w:val="both"/>
        <w:rPr>
          <w:lang w:val="pt-BR"/>
        </w:rPr>
      </w:pPr>
      <w:r w:rsidRPr="00D76247">
        <w:rPr>
          <w:noProof/>
          <w:lang w:val="pt-BR" w:eastAsia="pt-B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D7A7458" wp14:editId="003BF45C">
                <wp:simplePos x="0" y="0"/>
                <wp:positionH relativeFrom="margin">
                  <wp:posOffset>91440</wp:posOffset>
                </wp:positionH>
                <wp:positionV relativeFrom="margin">
                  <wp:posOffset>3110230</wp:posOffset>
                </wp:positionV>
                <wp:extent cx="323850" cy="34290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DA399" w14:textId="296BC80C" w:rsidR="00B159F1" w:rsidRDefault="00B159F1" w:rsidP="00954878">
                            <w:r>
                              <w:t>b)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7A745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2pt;margin-top:244.9pt;width:25.5pt;height:2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" stroked="f">
                <v:textbox>
                  <w:txbxContent>
                    <w:p w14:paraId="47EDA399" w14:textId="296BC80C" w:rsidR="00B159F1" w:rsidRDefault="00B159F1" w:rsidP="00954878">
                      <w:r>
                        <w:t>b)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954878" w:rsidRPr="00D76247">
        <w:rPr>
          <w:noProof/>
          <w:lang w:val="pt-BR" w:eastAsia="pt-B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0C3A613" wp14:editId="7E707668">
                <wp:simplePos x="0" y="0"/>
                <wp:positionH relativeFrom="margin">
                  <wp:posOffset>28575</wp:posOffset>
                </wp:positionH>
                <wp:positionV relativeFrom="margin">
                  <wp:posOffset>1270</wp:posOffset>
                </wp:positionV>
                <wp:extent cx="342900" cy="34290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5C81B" w14:textId="77777777" w:rsidR="00B159F1" w:rsidRDefault="00B159F1" w:rsidP="00954878">
                            <w:r>
                              <w:t>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3A613" id="_x0000_s1027" type="#_x0000_t202" style="position:absolute;left:0;text-align:left;margin-left:2.25pt;margin-top:.1pt;width:27pt;height:2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" stroked="f">
                <v:textbox>
                  <w:txbxContent>
                    <w:p w14:paraId="1BA5C81B" w14:textId="77777777" w:rsidR="00B159F1" w:rsidRDefault="00B159F1" w:rsidP="00954878">
                      <w:r>
                        <w:t>a)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bookmarkStart w:id="6" w:name="_Ref26705843"/>
      <w:r w:rsidRPr="006F4700">
        <w:rPr>
          <w:noProof/>
          <w:lang w:val="pt-BR"/>
        </w:rPr>
        <w:t xml:space="preserve"> </w:t>
      </w:r>
      <w:r>
        <w:rPr>
          <w:noProof/>
        </w:rPr>
        <w:drawing>
          <wp:inline distT="0" distB="0" distL="0" distR="0" wp14:anchorId="269985FB" wp14:editId="689AFDF8">
            <wp:extent cx="5400040" cy="2660015"/>
            <wp:effectExtent l="0" t="0" r="10160" b="6985"/>
            <wp:docPr id="18" name="Gráfico 18">
              <a:extLst xmlns:a="http://schemas.openxmlformats.org/drawingml/2006/main">
                <a:ext uri="{FF2B5EF4-FFF2-40B4-BE49-F238E27FC236}">
                  <a16:creationId xmlns:a16="http://schemas.microsoft.com/office/drawing/2014/main" id="{51CC27CE-A073-463B-947C-29B6CD29DB6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27135545" w14:textId="1AA2B013" w:rsidR="00954878" w:rsidRPr="009D6266" w:rsidRDefault="009C567E" w:rsidP="00954878">
      <w:pPr>
        <w:pStyle w:val="Caption"/>
        <w:rPr>
          <w:lang w:val="pt-BR"/>
        </w:rPr>
      </w:pPr>
      <w:r w:rsidRPr="006F1B2D">
        <w:rPr>
          <w:lang w:val="pt-BR"/>
        </w:rPr>
        <w:t xml:space="preserve">Figura </w:t>
      </w:r>
      <w:r w:rsidR="000B5E47">
        <w:rPr>
          <w:lang w:val="pt-BR"/>
        </w:rPr>
        <w:t>5</w:t>
      </w:r>
      <w:bookmarkEnd w:id="6"/>
      <w:r w:rsidR="00DB3A6D" w:rsidRPr="00DB3A6D">
        <w:rPr>
          <w:lang w:val="pt-BR"/>
        </w:rPr>
        <w:t xml:space="preserve">: </w:t>
      </w:r>
      <w:r w:rsidR="00954878" w:rsidRPr="00664035">
        <w:rPr>
          <w:lang w:val="pt-BR"/>
        </w:rPr>
        <w:t xml:space="preserve">Balanço de emissões e remoções </w:t>
      </w:r>
      <w:r w:rsidR="00954878">
        <w:rPr>
          <w:lang w:val="pt-BR"/>
        </w:rPr>
        <w:t>em</w:t>
      </w:r>
      <w:r w:rsidR="00954878" w:rsidRPr="00664035">
        <w:rPr>
          <w:lang w:val="pt-BR"/>
        </w:rPr>
        <w:t xml:space="preserve"> </w:t>
      </w:r>
      <w:r w:rsidR="00954878">
        <w:rPr>
          <w:lang w:val="pt-BR"/>
        </w:rPr>
        <w:t>São Paulo</w:t>
      </w:r>
      <w:r w:rsidR="00954878" w:rsidRPr="00664035">
        <w:rPr>
          <w:lang w:val="pt-BR"/>
        </w:rPr>
        <w:t>: b) emissões e remoções comparativas de mudança no uso da terra por classe de uso da terra.</w:t>
      </w:r>
      <w:r w:rsidR="00140CDA">
        <w:rPr>
          <w:lang w:val="pt-BR"/>
        </w:rPr>
        <w:t xml:space="preserve"> b</w:t>
      </w:r>
      <w:r w:rsidR="00140CDA" w:rsidRPr="00664035">
        <w:rPr>
          <w:lang w:val="pt-BR"/>
        </w:rPr>
        <w:t xml:space="preserve">) Emissões e remoções por classes de mudanças no uso da terra e as respectivas contribuições para </w:t>
      </w:r>
      <w:r w:rsidR="00A474A5">
        <w:rPr>
          <w:lang w:val="pt-BR"/>
        </w:rPr>
        <w:t>as emissões totais.</w:t>
      </w:r>
    </w:p>
    <w:p w14:paraId="74BBDCF6" w14:textId="08997DDF" w:rsidR="00DB3A6D" w:rsidRDefault="00DB3A6D" w:rsidP="00DB3A6D">
      <w:pPr>
        <w:jc w:val="both"/>
        <w:rPr>
          <w:lang w:val="pt-BR"/>
        </w:rPr>
      </w:pPr>
    </w:p>
    <w:p w14:paraId="76339A44" w14:textId="283D3427" w:rsidR="001E2113" w:rsidRDefault="001E2113" w:rsidP="001E2113">
      <w:pPr>
        <w:pStyle w:val="Heading3"/>
        <w:rPr>
          <w:lang w:val="pt-BR"/>
        </w:rPr>
      </w:pPr>
      <w:r>
        <w:rPr>
          <w:lang w:val="pt-BR"/>
        </w:rPr>
        <w:t>Permanência florestal</w:t>
      </w:r>
    </w:p>
    <w:p w14:paraId="4F06957B" w14:textId="77777777" w:rsidR="00E3423F" w:rsidRPr="00E3423F" w:rsidRDefault="00E3423F" w:rsidP="00E3423F">
      <w:pPr>
        <w:rPr>
          <w:lang w:val="pt-BR"/>
        </w:rPr>
      </w:pPr>
    </w:p>
    <w:p w14:paraId="3E7642BA" w14:textId="5609A3E2" w:rsidR="00954878" w:rsidRDefault="003A04CC" w:rsidP="003A04CC">
      <w:pPr>
        <w:jc w:val="both"/>
        <w:rPr>
          <w:lang w:val="pt-BR"/>
        </w:rPr>
      </w:pPr>
      <w:r w:rsidRPr="00EE031A">
        <w:rPr>
          <w:lang w:val="pt-BR"/>
        </w:rPr>
        <w:t xml:space="preserve">Como </w:t>
      </w:r>
      <w:r>
        <w:rPr>
          <w:lang w:val="pt-BR"/>
        </w:rPr>
        <w:t xml:space="preserve">descrito anteriormente, </w:t>
      </w:r>
      <w:r w:rsidRPr="00EE031A">
        <w:rPr>
          <w:lang w:val="pt-BR"/>
        </w:rPr>
        <w:t xml:space="preserve">as remoções são contabilizadas anualmente, </w:t>
      </w:r>
      <w:r>
        <w:rPr>
          <w:lang w:val="pt-BR"/>
        </w:rPr>
        <w:t xml:space="preserve">ou seja, </w:t>
      </w:r>
      <w:r w:rsidRPr="00EE031A">
        <w:rPr>
          <w:lang w:val="pt-BR"/>
        </w:rPr>
        <w:t xml:space="preserve">uma determinada área plantada ou em processo natural de regeneração </w:t>
      </w:r>
      <w:r>
        <w:rPr>
          <w:lang w:val="pt-BR"/>
        </w:rPr>
        <w:t>deverá</w:t>
      </w:r>
      <w:r w:rsidRPr="00EE031A">
        <w:rPr>
          <w:lang w:val="pt-BR"/>
        </w:rPr>
        <w:t xml:space="preserve"> continuar </w:t>
      </w:r>
      <w:r>
        <w:rPr>
          <w:lang w:val="pt-BR"/>
        </w:rPr>
        <w:t>removendo</w:t>
      </w:r>
      <w:r w:rsidRPr="00EE031A">
        <w:rPr>
          <w:lang w:val="pt-BR"/>
        </w:rPr>
        <w:t xml:space="preserve"> </w:t>
      </w:r>
      <w:r>
        <w:rPr>
          <w:lang w:val="pt-BR"/>
        </w:rPr>
        <w:t xml:space="preserve">(ou sequestrando) </w:t>
      </w:r>
      <w:r w:rsidRPr="00EE031A">
        <w:rPr>
          <w:lang w:val="pt-BR"/>
        </w:rPr>
        <w:t xml:space="preserve">carbono </w:t>
      </w:r>
      <w:r>
        <w:rPr>
          <w:lang w:val="pt-BR"/>
        </w:rPr>
        <w:t>indefinidamente até atingir sua maturidade.</w:t>
      </w:r>
      <w:r w:rsidRPr="00EE031A">
        <w:rPr>
          <w:lang w:val="pt-BR"/>
        </w:rPr>
        <w:t xml:space="preserve"> Desse modo</w:t>
      </w:r>
      <w:r>
        <w:rPr>
          <w:lang w:val="pt-BR"/>
        </w:rPr>
        <w:t>,</w:t>
      </w:r>
      <w:r w:rsidRPr="00EE031A">
        <w:rPr>
          <w:lang w:val="pt-BR"/>
        </w:rPr>
        <w:t xml:space="preserve"> o cálculo de remoções entre 20</w:t>
      </w:r>
      <w:r w:rsidR="00A474A5">
        <w:rPr>
          <w:lang w:val="pt-BR"/>
        </w:rPr>
        <w:t>10</w:t>
      </w:r>
      <w:r w:rsidRPr="00EE031A">
        <w:rPr>
          <w:lang w:val="pt-BR"/>
        </w:rPr>
        <w:t xml:space="preserve"> e 201</w:t>
      </w:r>
      <w:r w:rsidR="00A474A5">
        <w:rPr>
          <w:lang w:val="pt-BR"/>
        </w:rPr>
        <w:t>9</w:t>
      </w:r>
      <w:r w:rsidRPr="00EE031A">
        <w:rPr>
          <w:lang w:val="pt-BR"/>
        </w:rPr>
        <w:t xml:space="preserve"> </w:t>
      </w:r>
      <w:r>
        <w:rPr>
          <w:lang w:val="pt-BR"/>
        </w:rPr>
        <w:t xml:space="preserve">cria </w:t>
      </w:r>
      <w:r w:rsidRPr="00EE031A">
        <w:rPr>
          <w:lang w:val="pt-BR"/>
        </w:rPr>
        <w:t xml:space="preserve">uma impressão artificial de remoções crescendo </w:t>
      </w:r>
      <w:r>
        <w:rPr>
          <w:lang w:val="pt-BR"/>
        </w:rPr>
        <w:t xml:space="preserve">de forma gradativa e </w:t>
      </w:r>
      <w:r w:rsidRPr="00EE031A">
        <w:rPr>
          <w:lang w:val="pt-BR"/>
        </w:rPr>
        <w:t>r</w:t>
      </w:r>
      <w:r>
        <w:rPr>
          <w:lang w:val="pt-BR"/>
        </w:rPr>
        <w:t>ápida</w:t>
      </w:r>
      <w:r w:rsidRPr="00EE031A">
        <w:rPr>
          <w:lang w:val="pt-BR"/>
        </w:rPr>
        <w:t xml:space="preserve"> durante esse período.</w:t>
      </w:r>
      <w:r>
        <w:rPr>
          <w:lang w:val="pt-BR"/>
        </w:rPr>
        <w:t xml:space="preserve"> Contudo, trata-se de um artifício utilizado na contabilização de remoções, que ocorre devido ao estabelecimento de um período de início (neste caso o ano 20</w:t>
      </w:r>
      <w:r w:rsidR="00A474A5">
        <w:rPr>
          <w:lang w:val="pt-BR"/>
        </w:rPr>
        <w:t>10</w:t>
      </w:r>
      <w:r>
        <w:rPr>
          <w:lang w:val="pt-BR"/>
        </w:rPr>
        <w:t xml:space="preserve">). </w:t>
      </w:r>
    </w:p>
    <w:p w14:paraId="79A21590" w14:textId="4AE0FC34" w:rsidR="003A04CC" w:rsidRDefault="003A04CC" w:rsidP="003A04CC">
      <w:pPr>
        <w:jc w:val="both"/>
        <w:rPr>
          <w:lang w:val="pt-BR"/>
        </w:rPr>
      </w:pPr>
      <w:r>
        <w:rPr>
          <w:lang w:val="pt-BR"/>
        </w:rPr>
        <w:lastRenderedPageBreak/>
        <w:t>Vale ressaltar que, em 20</w:t>
      </w:r>
      <w:r w:rsidR="00A474A5">
        <w:rPr>
          <w:lang w:val="pt-BR"/>
        </w:rPr>
        <w:t>10</w:t>
      </w:r>
      <w:r>
        <w:rPr>
          <w:lang w:val="pt-BR"/>
        </w:rPr>
        <w:t>, havia áreas de florestas restauradas (plantadas ou regeneradas) anteriores a este período que também estariam removendo carbono atmosférico, mas que não constam nas estimativas de remoções (exatamente porque ocorreram antes do início do período de referência).  Com objetivo de</w:t>
      </w:r>
      <w:r w:rsidRPr="00EE031A">
        <w:rPr>
          <w:lang w:val="pt-BR"/>
        </w:rPr>
        <w:t xml:space="preserve"> evitar essa </w:t>
      </w:r>
      <w:r>
        <w:rPr>
          <w:lang w:val="pt-BR"/>
        </w:rPr>
        <w:t>falsa impressão (ou artifício de contabilização),</w:t>
      </w:r>
      <w:r w:rsidRPr="00EE031A">
        <w:rPr>
          <w:lang w:val="pt-BR"/>
        </w:rPr>
        <w:t xml:space="preserve"> </w:t>
      </w:r>
      <w:r>
        <w:rPr>
          <w:lang w:val="pt-BR"/>
        </w:rPr>
        <w:t xml:space="preserve">aplicou-se </w:t>
      </w:r>
      <w:r w:rsidR="00954878">
        <w:rPr>
          <w:lang w:val="pt-BR"/>
        </w:rPr>
        <w:t>o valor</w:t>
      </w:r>
      <w:r>
        <w:rPr>
          <w:lang w:val="pt-BR"/>
        </w:rPr>
        <w:t xml:space="preserve"> médi</w:t>
      </w:r>
      <w:r w:rsidR="00954878">
        <w:rPr>
          <w:lang w:val="pt-BR"/>
        </w:rPr>
        <w:t>o</w:t>
      </w:r>
      <w:r>
        <w:rPr>
          <w:lang w:val="pt-BR"/>
        </w:rPr>
        <w:t xml:space="preserve"> d</w:t>
      </w:r>
      <w:r w:rsidR="00954878">
        <w:rPr>
          <w:lang w:val="pt-BR"/>
        </w:rPr>
        <w:t>e</w:t>
      </w:r>
      <w:r>
        <w:rPr>
          <w:lang w:val="pt-BR"/>
        </w:rPr>
        <w:t xml:space="preserve"> remoç</w:t>
      </w:r>
      <w:r w:rsidR="00954878">
        <w:rPr>
          <w:lang w:val="pt-BR"/>
        </w:rPr>
        <w:t>ões</w:t>
      </w:r>
      <w:r w:rsidRPr="00EE031A">
        <w:rPr>
          <w:lang w:val="pt-BR"/>
        </w:rPr>
        <w:t xml:space="preserve"> </w:t>
      </w:r>
      <w:r>
        <w:rPr>
          <w:lang w:val="pt-BR"/>
        </w:rPr>
        <w:t>de carbono ocorrida durante todo o período de referência (20</w:t>
      </w:r>
      <w:r w:rsidR="00A474A5">
        <w:rPr>
          <w:lang w:val="pt-BR"/>
        </w:rPr>
        <w:t>10</w:t>
      </w:r>
      <w:r>
        <w:rPr>
          <w:lang w:val="pt-BR"/>
        </w:rPr>
        <w:t>-201</w:t>
      </w:r>
      <w:r w:rsidR="00A474A5">
        <w:rPr>
          <w:lang w:val="pt-BR"/>
        </w:rPr>
        <w:t>9</w:t>
      </w:r>
      <w:r>
        <w:rPr>
          <w:lang w:val="pt-BR"/>
        </w:rPr>
        <w:t>)</w:t>
      </w:r>
      <w:r w:rsidR="00954878">
        <w:rPr>
          <w:lang w:val="pt-BR"/>
        </w:rPr>
        <w:t xml:space="preserve"> de </w:t>
      </w:r>
      <w:r w:rsidR="00A474A5">
        <w:rPr>
          <w:lang w:val="pt-BR"/>
        </w:rPr>
        <w:t>9,6 milhões de</w:t>
      </w:r>
      <w:r w:rsidR="00954878">
        <w:rPr>
          <w:lang w:val="pt-BR"/>
        </w:rPr>
        <w:t xml:space="preserve"> tCO</w:t>
      </w:r>
      <w:r w:rsidR="00954878" w:rsidRPr="00954878">
        <w:rPr>
          <w:vertAlign w:val="subscript"/>
          <w:lang w:val="pt-BR"/>
        </w:rPr>
        <w:t>2</w:t>
      </w:r>
      <w:r>
        <w:rPr>
          <w:lang w:val="pt-BR"/>
        </w:rPr>
        <w:t>,</w:t>
      </w:r>
      <w:r w:rsidRPr="00EE031A">
        <w:rPr>
          <w:lang w:val="pt-BR"/>
        </w:rPr>
        <w:t xml:space="preserve"> adotando a premissa de que a taxa de plantio</w:t>
      </w:r>
      <w:r>
        <w:rPr>
          <w:lang w:val="pt-BR"/>
        </w:rPr>
        <w:t xml:space="preserve"> ou de </w:t>
      </w:r>
      <w:r w:rsidRPr="00EE031A">
        <w:rPr>
          <w:lang w:val="pt-BR"/>
        </w:rPr>
        <w:t xml:space="preserve">regeneração </w:t>
      </w:r>
      <w:r>
        <w:rPr>
          <w:lang w:val="pt-BR"/>
        </w:rPr>
        <w:t>é</w:t>
      </w:r>
      <w:r w:rsidRPr="00EE031A">
        <w:rPr>
          <w:lang w:val="pt-BR"/>
        </w:rPr>
        <w:t xml:space="preserve"> mantida </w:t>
      </w:r>
      <w:r>
        <w:rPr>
          <w:lang w:val="pt-BR"/>
        </w:rPr>
        <w:t xml:space="preserve">relativamente </w:t>
      </w:r>
      <w:r w:rsidRPr="00EE031A">
        <w:rPr>
          <w:lang w:val="pt-BR"/>
        </w:rPr>
        <w:t xml:space="preserve">constante durante </w:t>
      </w:r>
      <w:r>
        <w:rPr>
          <w:lang w:val="pt-BR"/>
        </w:rPr>
        <w:t xml:space="preserve">esse tempo; ou seja, não houve nenhuma campanha, legislação ou iniciativa significativa em </w:t>
      </w:r>
      <w:r w:rsidR="00954878">
        <w:rPr>
          <w:lang w:val="pt-BR"/>
        </w:rPr>
        <w:t>São Paulo</w:t>
      </w:r>
      <w:r>
        <w:rPr>
          <w:lang w:val="pt-BR"/>
        </w:rPr>
        <w:t xml:space="preserve"> que justifique o aumento na área de terras convertidas a floresta entre 20</w:t>
      </w:r>
      <w:r w:rsidR="00A474A5">
        <w:rPr>
          <w:lang w:val="pt-BR"/>
        </w:rPr>
        <w:t>10</w:t>
      </w:r>
      <w:r>
        <w:rPr>
          <w:lang w:val="pt-BR"/>
        </w:rPr>
        <w:t>-201</w:t>
      </w:r>
      <w:r w:rsidR="00A474A5">
        <w:rPr>
          <w:lang w:val="pt-BR"/>
        </w:rPr>
        <w:t>9</w:t>
      </w:r>
      <w:r>
        <w:rPr>
          <w:lang w:val="pt-BR"/>
        </w:rPr>
        <w:t xml:space="preserve">. </w:t>
      </w:r>
      <w:r w:rsidRPr="00EE031A">
        <w:rPr>
          <w:lang w:val="pt-BR"/>
        </w:rPr>
        <w:t xml:space="preserve"> </w:t>
      </w:r>
    </w:p>
    <w:p w14:paraId="7AD40498" w14:textId="77777777" w:rsidR="00FA157B" w:rsidRDefault="00FA157B" w:rsidP="003A04CC">
      <w:pPr>
        <w:jc w:val="both"/>
        <w:rPr>
          <w:lang w:val="pt-BR"/>
        </w:rPr>
      </w:pPr>
    </w:p>
    <w:p w14:paraId="7BABCE1E" w14:textId="59BA5A39" w:rsidR="005224DF" w:rsidRDefault="005224DF" w:rsidP="005224DF">
      <w:pPr>
        <w:pStyle w:val="Heading3"/>
        <w:rPr>
          <w:lang w:val="pt-BR"/>
        </w:rPr>
      </w:pPr>
      <w:r w:rsidRPr="00F2582F">
        <w:rPr>
          <w:lang w:val="pt-BR"/>
        </w:rPr>
        <w:t>Des</w:t>
      </w:r>
      <w:r w:rsidR="00E91663">
        <w:rPr>
          <w:lang w:val="pt-BR"/>
        </w:rPr>
        <w:t>florestamento</w:t>
      </w:r>
    </w:p>
    <w:p w14:paraId="090F40B9" w14:textId="067C0920" w:rsidR="005224DF" w:rsidRDefault="005224DF" w:rsidP="005224DF">
      <w:pPr>
        <w:jc w:val="both"/>
        <w:rPr>
          <w:lang w:val="pt-BR"/>
        </w:rPr>
      </w:pPr>
      <w:r w:rsidRPr="00EE031A">
        <w:rPr>
          <w:lang w:val="pt-BR"/>
        </w:rPr>
        <w:t xml:space="preserve">As emissões </w:t>
      </w:r>
      <w:r w:rsidR="00E91663">
        <w:rPr>
          <w:lang w:val="pt-BR"/>
        </w:rPr>
        <w:t>por desflorestamento</w:t>
      </w:r>
      <w:r w:rsidRPr="00EE031A">
        <w:rPr>
          <w:lang w:val="pt-BR"/>
        </w:rPr>
        <w:t xml:space="preserve"> </w:t>
      </w:r>
      <w:r>
        <w:rPr>
          <w:lang w:val="pt-BR"/>
        </w:rPr>
        <w:t>em</w:t>
      </w:r>
      <w:r w:rsidRPr="00EE031A">
        <w:rPr>
          <w:lang w:val="pt-BR"/>
        </w:rPr>
        <w:t xml:space="preserve"> </w:t>
      </w:r>
      <w:r w:rsidR="00E91663">
        <w:rPr>
          <w:lang w:val="pt-BR"/>
        </w:rPr>
        <w:t>São Paulo</w:t>
      </w:r>
      <w:r w:rsidR="00A474A5">
        <w:rPr>
          <w:lang w:val="pt-BR"/>
        </w:rPr>
        <w:t xml:space="preserve"> </w:t>
      </w:r>
      <w:r w:rsidR="00201C53">
        <w:rPr>
          <w:lang w:val="pt-BR"/>
        </w:rPr>
        <w:t xml:space="preserve">tiveram </w:t>
      </w:r>
      <w:r w:rsidR="00A474A5">
        <w:rPr>
          <w:lang w:val="pt-BR"/>
        </w:rPr>
        <w:t>uma média anual de 10,1 milhões de tCO</w:t>
      </w:r>
      <w:r w:rsidR="00A474A5">
        <w:rPr>
          <w:vertAlign w:val="subscript"/>
          <w:lang w:val="pt-BR"/>
        </w:rPr>
        <w:t>2</w:t>
      </w:r>
      <w:r w:rsidR="00201C53" w:rsidRPr="00201C53">
        <w:rPr>
          <w:lang w:val="pt-BR"/>
        </w:rPr>
        <w:t xml:space="preserve"> </w:t>
      </w:r>
      <w:r w:rsidR="00201C53">
        <w:rPr>
          <w:lang w:val="pt-BR"/>
        </w:rPr>
        <w:t>no período de referência.</w:t>
      </w:r>
      <w:r w:rsidR="00E91663">
        <w:rPr>
          <w:lang w:val="pt-BR"/>
        </w:rPr>
        <w:t xml:space="preserve"> </w:t>
      </w:r>
      <w:r w:rsidR="00201C53">
        <w:rPr>
          <w:lang w:val="pt-BR"/>
        </w:rPr>
        <w:t>O</w:t>
      </w:r>
      <w:r w:rsidR="00E91663">
        <w:rPr>
          <w:lang w:val="pt-BR"/>
        </w:rPr>
        <w:t xml:space="preserve">s menores valores de emissões </w:t>
      </w:r>
      <w:r w:rsidR="00201C53">
        <w:rPr>
          <w:lang w:val="pt-BR"/>
        </w:rPr>
        <w:t xml:space="preserve">ocorreram </w:t>
      </w:r>
      <w:r w:rsidR="00E91663">
        <w:rPr>
          <w:lang w:val="pt-BR"/>
        </w:rPr>
        <w:t>em 20</w:t>
      </w:r>
      <w:r w:rsidR="00A474A5">
        <w:rPr>
          <w:lang w:val="pt-BR"/>
        </w:rPr>
        <w:t>18</w:t>
      </w:r>
      <w:r w:rsidR="00201C53">
        <w:rPr>
          <w:lang w:val="pt-BR"/>
        </w:rPr>
        <w:t>,</w:t>
      </w:r>
      <w:r w:rsidR="00E91663">
        <w:rPr>
          <w:lang w:val="pt-BR"/>
        </w:rPr>
        <w:t xml:space="preserve"> com </w:t>
      </w:r>
      <w:r w:rsidR="00A474A5">
        <w:rPr>
          <w:lang w:val="pt-BR"/>
        </w:rPr>
        <w:t>um total de 5,9</w:t>
      </w:r>
      <w:r w:rsidR="00E91663">
        <w:rPr>
          <w:lang w:val="pt-BR"/>
        </w:rPr>
        <w:t xml:space="preserve"> milhões de tCO</w:t>
      </w:r>
      <w:r w:rsidR="00E91663">
        <w:rPr>
          <w:vertAlign w:val="subscript"/>
          <w:lang w:val="pt-BR"/>
        </w:rPr>
        <w:t>2</w:t>
      </w:r>
      <w:r w:rsidR="00A474A5">
        <w:rPr>
          <w:lang w:val="pt-BR"/>
        </w:rPr>
        <w:t>, sendo 4,8 milhões de tCO</w:t>
      </w:r>
      <w:r w:rsidR="00A474A5">
        <w:rPr>
          <w:vertAlign w:val="subscript"/>
          <w:lang w:val="pt-BR"/>
        </w:rPr>
        <w:t xml:space="preserve">2 </w:t>
      </w:r>
      <w:r w:rsidR="00E91663">
        <w:rPr>
          <w:lang w:val="pt-BR"/>
        </w:rPr>
        <w:t>para a Mata Atlântica e 1,</w:t>
      </w:r>
      <w:r w:rsidR="00A474A5">
        <w:rPr>
          <w:lang w:val="pt-BR"/>
        </w:rPr>
        <w:t>0</w:t>
      </w:r>
      <w:r w:rsidR="00E91663">
        <w:rPr>
          <w:lang w:val="pt-BR"/>
        </w:rPr>
        <w:t xml:space="preserve"> milhões de tCO</w:t>
      </w:r>
      <w:r w:rsidR="00E91663">
        <w:rPr>
          <w:vertAlign w:val="subscript"/>
          <w:lang w:val="pt-BR"/>
        </w:rPr>
        <w:t xml:space="preserve">2 </w:t>
      </w:r>
      <w:r w:rsidR="00E91663">
        <w:rPr>
          <w:lang w:val="pt-BR"/>
        </w:rPr>
        <w:t>para o Cerrado</w:t>
      </w:r>
      <w:r w:rsidR="00201C53">
        <w:rPr>
          <w:lang w:val="pt-BR"/>
        </w:rPr>
        <w:t>.</w:t>
      </w:r>
      <w:r w:rsidR="00E91663">
        <w:rPr>
          <w:lang w:val="pt-BR"/>
        </w:rPr>
        <w:t xml:space="preserve"> </w:t>
      </w:r>
      <w:r w:rsidR="00201C53">
        <w:rPr>
          <w:lang w:val="pt-BR"/>
        </w:rPr>
        <w:t>O</w:t>
      </w:r>
      <w:r w:rsidR="00E91663">
        <w:rPr>
          <w:lang w:val="pt-BR"/>
        </w:rPr>
        <w:t xml:space="preserve">s maiores valores </w:t>
      </w:r>
      <w:r w:rsidR="00201C53">
        <w:rPr>
          <w:lang w:val="pt-BR"/>
        </w:rPr>
        <w:t xml:space="preserve">foram atingidos </w:t>
      </w:r>
      <w:r w:rsidR="00E91663">
        <w:rPr>
          <w:lang w:val="pt-BR"/>
        </w:rPr>
        <w:t>em 201</w:t>
      </w:r>
      <w:r w:rsidR="00A474A5">
        <w:rPr>
          <w:lang w:val="pt-BR"/>
        </w:rPr>
        <w:t>3</w:t>
      </w:r>
      <w:r w:rsidR="00201C53">
        <w:rPr>
          <w:lang w:val="pt-BR"/>
        </w:rPr>
        <w:t>,</w:t>
      </w:r>
      <w:r w:rsidR="00E91663">
        <w:rPr>
          <w:lang w:val="pt-BR"/>
        </w:rPr>
        <w:t xml:space="preserve"> com</w:t>
      </w:r>
      <w:r w:rsidR="00A474A5">
        <w:rPr>
          <w:lang w:val="pt-BR"/>
        </w:rPr>
        <w:t xml:space="preserve"> um total de</w:t>
      </w:r>
      <w:r w:rsidR="00E91663">
        <w:rPr>
          <w:lang w:val="pt-BR"/>
        </w:rPr>
        <w:t xml:space="preserve"> 1</w:t>
      </w:r>
      <w:r w:rsidR="00A474A5">
        <w:rPr>
          <w:lang w:val="pt-BR"/>
        </w:rPr>
        <w:t>4</w:t>
      </w:r>
      <w:r w:rsidR="00E91663">
        <w:rPr>
          <w:lang w:val="pt-BR"/>
        </w:rPr>
        <w:t>,</w:t>
      </w:r>
      <w:r w:rsidR="00A474A5">
        <w:rPr>
          <w:lang w:val="pt-BR"/>
        </w:rPr>
        <w:t>6</w:t>
      </w:r>
      <w:r w:rsidR="00E91663">
        <w:rPr>
          <w:lang w:val="pt-BR"/>
        </w:rPr>
        <w:t xml:space="preserve"> milhões de tCO</w:t>
      </w:r>
      <w:r w:rsidR="00E91663">
        <w:rPr>
          <w:vertAlign w:val="subscript"/>
          <w:lang w:val="pt-BR"/>
        </w:rPr>
        <w:t>2</w:t>
      </w:r>
      <w:r w:rsidR="00E91663">
        <w:rPr>
          <w:lang w:val="pt-BR"/>
        </w:rPr>
        <w:t xml:space="preserve"> </w:t>
      </w:r>
      <w:r w:rsidR="00A474A5">
        <w:rPr>
          <w:lang w:val="pt-BR"/>
        </w:rPr>
        <w:t>, sendo 9,7 milhões de tCO</w:t>
      </w:r>
      <w:r w:rsidR="00A474A5">
        <w:rPr>
          <w:vertAlign w:val="subscript"/>
          <w:lang w:val="pt-BR"/>
        </w:rPr>
        <w:t xml:space="preserve">2 </w:t>
      </w:r>
      <w:r w:rsidR="00E91663">
        <w:rPr>
          <w:lang w:val="pt-BR"/>
        </w:rPr>
        <w:t xml:space="preserve">para a Mata Atlântica e </w:t>
      </w:r>
      <w:r w:rsidR="00A474A5">
        <w:rPr>
          <w:lang w:val="pt-BR"/>
        </w:rPr>
        <w:t>4,9</w:t>
      </w:r>
      <w:r w:rsidR="00E91663">
        <w:rPr>
          <w:lang w:val="pt-BR"/>
        </w:rPr>
        <w:t xml:space="preserve"> milhões de tCO</w:t>
      </w:r>
      <w:r w:rsidR="00E91663">
        <w:rPr>
          <w:vertAlign w:val="subscript"/>
          <w:lang w:val="pt-BR"/>
        </w:rPr>
        <w:t xml:space="preserve">2 </w:t>
      </w:r>
      <w:r w:rsidR="00E91663">
        <w:rPr>
          <w:lang w:val="pt-BR"/>
        </w:rPr>
        <w:t xml:space="preserve">para o Cerrado; </w:t>
      </w:r>
      <w:r w:rsidR="00A474A5">
        <w:rPr>
          <w:lang w:val="pt-BR"/>
        </w:rPr>
        <w:t>entre</w:t>
      </w:r>
      <w:r w:rsidR="003F05B3">
        <w:rPr>
          <w:lang w:val="pt-BR"/>
        </w:rPr>
        <w:t xml:space="preserve"> </w:t>
      </w:r>
      <w:r w:rsidR="00E91663">
        <w:rPr>
          <w:lang w:val="pt-BR"/>
        </w:rPr>
        <w:t>em 201</w:t>
      </w:r>
      <w:r w:rsidR="00A474A5">
        <w:rPr>
          <w:lang w:val="pt-BR"/>
        </w:rPr>
        <w:t>8</w:t>
      </w:r>
      <w:r w:rsidR="00E91663">
        <w:rPr>
          <w:lang w:val="pt-BR"/>
        </w:rPr>
        <w:t xml:space="preserve"> e 201</w:t>
      </w:r>
      <w:r w:rsidR="00A474A5">
        <w:rPr>
          <w:lang w:val="pt-BR"/>
        </w:rPr>
        <w:t>9</w:t>
      </w:r>
      <w:r w:rsidR="00E91663">
        <w:rPr>
          <w:lang w:val="pt-BR"/>
        </w:rPr>
        <w:t xml:space="preserve">, SP apresentou uma tendência de </w:t>
      </w:r>
      <w:r w:rsidR="00A474A5">
        <w:rPr>
          <w:lang w:val="pt-BR"/>
        </w:rPr>
        <w:t xml:space="preserve">incremento de emissões de GEE devido o desflorestamento </w:t>
      </w:r>
      <w:r w:rsidR="00E91663">
        <w:rPr>
          <w:lang w:val="pt-BR"/>
        </w:rPr>
        <w:t>para a Mata Atlântica</w:t>
      </w:r>
      <w:r w:rsidR="00A474A5">
        <w:rPr>
          <w:lang w:val="pt-BR"/>
        </w:rPr>
        <w:t xml:space="preserve"> e Cerrado</w:t>
      </w:r>
      <w:r w:rsidR="00E91663">
        <w:rPr>
          <w:lang w:val="pt-BR"/>
        </w:rPr>
        <w:t>, em 201</w:t>
      </w:r>
      <w:r w:rsidR="00A474A5">
        <w:rPr>
          <w:lang w:val="pt-BR"/>
        </w:rPr>
        <w:t xml:space="preserve">9 </w:t>
      </w:r>
      <w:r w:rsidR="00E91663">
        <w:rPr>
          <w:lang w:val="pt-BR"/>
        </w:rPr>
        <w:t xml:space="preserve">o estado de São Paulo apresentou uma emissão </w:t>
      </w:r>
      <w:r w:rsidR="00A474A5">
        <w:rPr>
          <w:lang w:val="pt-BR"/>
        </w:rPr>
        <w:t>6,8</w:t>
      </w:r>
      <w:r w:rsidR="003F05B3">
        <w:rPr>
          <w:lang w:val="pt-BR"/>
        </w:rPr>
        <w:t xml:space="preserve"> milhões de tCO</w:t>
      </w:r>
      <w:r w:rsidR="003F05B3">
        <w:rPr>
          <w:vertAlign w:val="subscript"/>
          <w:lang w:val="pt-BR"/>
        </w:rPr>
        <w:t>2</w:t>
      </w:r>
      <w:r w:rsidR="003F05B3">
        <w:rPr>
          <w:lang w:val="pt-BR"/>
        </w:rPr>
        <w:t xml:space="preserve"> para a Mata Atlântica e </w:t>
      </w:r>
      <w:r w:rsidR="00A474A5">
        <w:rPr>
          <w:lang w:val="pt-BR"/>
        </w:rPr>
        <w:t>2,6</w:t>
      </w:r>
      <w:r w:rsidR="003F05B3">
        <w:rPr>
          <w:lang w:val="pt-BR"/>
        </w:rPr>
        <w:t xml:space="preserve"> milhões de tCO</w:t>
      </w:r>
      <w:r w:rsidR="003F05B3">
        <w:rPr>
          <w:vertAlign w:val="subscript"/>
          <w:lang w:val="pt-BR"/>
        </w:rPr>
        <w:t xml:space="preserve">2 </w:t>
      </w:r>
      <w:r w:rsidR="003F05B3">
        <w:rPr>
          <w:lang w:val="pt-BR"/>
        </w:rPr>
        <w:t xml:space="preserve">para o Cerrado </w:t>
      </w:r>
      <w:r w:rsidRPr="00EE031A">
        <w:rPr>
          <w:lang w:val="pt-BR"/>
        </w:rPr>
        <w:t>(</w:t>
      </w:r>
      <w:r w:rsidRPr="006E4D65">
        <w:rPr>
          <w:lang w:val="pt-BR"/>
        </w:rPr>
        <w:t xml:space="preserve">Figura </w:t>
      </w:r>
      <w:r w:rsidR="000B5E47">
        <w:rPr>
          <w:noProof/>
          <w:lang w:val="pt-BR"/>
        </w:rPr>
        <w:t>6</w:t>
      </w:r>
      <w:r w:rsidRPr="006E4D65">
        <w:rPr>
          <w:lang w:val="pt-BR"/>
        </w:rPr>
        <w:t>).</w:t>
      </w:r>
    </w:p>
    <w:p w14:paraId="05AC3565" w14:textId="482FF41F" w:rsidR="00E91663" w:rsidRDefault="00E91663" w:rsidP="005224DF">
      <w:pPr>
        <w:jc w:val="both"/>
        <w:rPr>
          <w:lang w:val="pt-BR"/>
        </w:rPr>
      </w:pPr>
    </w:p>
    <w:p w14:paraId="72B535D4" w14:textId="5061B7DD" w:rsidR="00A05B01" w:rsidRDefault="00A05B01" w:rsidP="005224DF">
      <w:pPr>
        <w:jc w:val="both"/>
        <w:rPr>
          <w:lang w:val="pt-BR"/>
        </w:rPr>
      </w:pPr>
      <w:r>
        <w:rPr>
          <w:noProof/>
        </w:rPr>
        <w:drawing>
          <wp:inline distT="0" distB="0" distL="0" distR="0" wp14:anchorId="4FD77BF7" wp14:editId="24D7AA89">
            <wp:extent cx="5400675" cy="2732405"/>
            <wp:effectExtent l="0" t="0" r="9525" b="10795"/>
            <wp:docPr id="19" name="Gráfico 19">
              <a:extLst xmlns:a="http://schemas.openxmlformats.org/drawingml/2006/main">
                <a:ext uri="{FF2B5EF4-FFF2-40B4-BE49-F238E27FC236}">
                  <a16:creationId xmlns:a16="http://schemas.microsoft.com/office/drawing/2014/main" id="{E2F575C6-1FC5-4711-89BD-48465C790C1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5B46ACD4" w14:textId="5F76B590" w:rsidR="00A05B01" w:rsidRDefault="005224DF" w:rsidP="00B159F1">
      <w:pPr>
        <w:pStyle w:val="Caption"/>
        <w:rPr>
          <w:lang w:val="pt-BR"/>
        </w:rPr>
      </w:pPr>
      <w:bookmarkStart w:id="7" w:name="_Ref32358221"/>
      <w:r w:rsidRPr="006E4D65">
        <w:rPr>
          <w:lang w:val="pt-BR"/>
        </w:rPr>
        <w:t xml:space="preserve">Figura </w:t>
      </w:r>
      <w:r w:rsidR="00957FF6">
        <w:rPr>
          <w:lang w:val="pt-BR"/>
        </w:rPr>
        <w:t>6</w:t>
      </w:r>
      <w:bookmarkEnd w:id="7"/>
      <w:r w:rsidRPr="006E4D65">
        <w:rPr>
          <w:lang w:val="pt-BR"/>
        </w:rPr>
        <w:t xml:space="preserve">: Emissões </w:t>
      </w:r>
      <w:r>
        <w:rPr>
          <w:lang w:val="pt-BR"/>
        </w:rPr>
        <w:t>oriundas do</w:t>
      </w:r>
      <w:r w:rsidRPr="006E4D65">
        <w:rPr>
          <w:lang w:val="pt-BR"/>
        </w:rPr>
        <w:t xml:space="preserve"> des</w:t>
      </w:r>
      <w:r>
        <w:rPr>
          <w:lang w:val="pt-BR"/>
        </w:rPr>
        <w:t xml:space="preserve">matamento </w:t>
      </w:r>
      <w:r w:rsidRPr="006E4D65">
        <w:rPr>
          <w:lang w:val="pt-BR"/>
        </w:rPr>
        <w:t xml:space="preserve">por bioma </w:t>
      </w:r>
      <w:r>
        <w:rPr>
          <w:lang w:val="pt-BR"/>
        </w:rPr>
        <w:t>em</w:t>
      </w:r>
      <w:r w:rsidRPr="006E4D65">
        <w:rPr>
          <w:lang w:val="pt-BR"/>
        </w:rPr>
        <w:t xml:space="preserve"> </w:t>
      </w:r>
      <w:r w:rsidR="00E91663">
        <w:rPr>
          <w:lang w:val="pt-BR"/>
        </w:rPr>
        <w:t>São Paulo</w:t>
      </w:r>
      <w:r w:rsidRPr="006E4D65">
        <w:rPr>
          <w:lang w:val="pt-BR"/>
        </w:rPr>
        <w:t>.</w:t>
      </w:r>
    </w:p>
    <w:p w14:paraId="65F6EF8D" w14:textId="4D50D39B" w:rsidR="00A05B01" w:rsidRDefault="00A05B01" w:rsidP="00A05B01">
      <w:pPr>
        <w:rPr>
          <w:lang w:val="pt-BR"/>
        </w:rPr>
      </w:pPr>
    </w:p>
    <w:p w14:paraId="78430766" w14:textId="7CA4D9DB" w:rsidR="00D2632B" w:rsidRDefault="00D2632B" w:rsidP="00D2632B">
      <w:pPr>
        <w:pStyle w:val="Heading2"/>
        <w:rPr>
          <w:lang w:val="pt-BR"/>
        </w:rPr>
      </w:pPr>
      <w:r>
        <w:rPr>
          <w:lang w:val="pt-BR"/>
        </w:rPr>
        <w:t>Queimadas</w:t>
      </w:r>
    </w:p>
    <w:p w14:paraId="3E7FC4D2" w14:textId="09D8C3DF" w:rsidR="00D2632B" w:rsidRDefault="00D2632B" w:rsidP="00D2632B">
      <w:pPr>
        <w:jc w:val="both"/>
        <w:rPr>
          <w:lang w:val="pt-BR"/>
        </w:rPr>
      </w:pPr>
      <w:r w:rsidRPr="00C8072F">
        <w:rPr>
          <w:lang w:val="pt-BR"/>
        </w:rPr>
        <w:t>A base de dados das emissões globais de incêndios florestais (GFED)</w:t>
      </w:r>
      <w:r>
        <w:rPr>
          <w:rStyle w:val="FootnoteReference"/>
        </w:rPr>
        <w:footnoteReference w:id="6"/>
      </w:r>
      <w:r w:rsidRPr="00C8072F">
        <w:rPr>
          <w:lang w:val="pt-BR"/>
        </w:rPr>
        <w:t xml:space="preserve"> f</w:t>
      </w:r>
      <w:r>
        <w:rPr>
          <w:lang w:val="pt-BR"/>
        </w:rPr>
        <w:t>oi utilizada para estimar as emissões de</w:t>
      </w:r>
      <w:r w:rsidRPr="00C8072F">
        <w:rPr>
          <w:lang w:val="pt-BR"/>
        </w:rPr>
        <w:t xml:space="preserve"> </w:t>
      </w:r>
      <w:r w:rsidR="00201C53">
        <w:rPr>
          <w:lang w:val="pt-BR"/>
        </w:rPr>
        <w:t>metano (</w:t>
      </w:r>
      <w:r w:rsidRPr="00C8072F">
        <w:rPr>
          <w:lang w:val="pt-BR"/>
        </w:rPr>
        <w:t>CH</w:t>
      </w:r>
      <w:r w:rsidRPr="00C8072F">
        <w:rPr>
          <w:vertAlign w:val="subscript"/>
          <w:lang w:val="pt-BR"/>
        </w:rPr>
        <w:t>4</w:t>
      </w:r>
      <w:r w:rsidR="00201C53">
        <w:rPr>
          <w:lang w:val="pt-BR"/>
        </w:rPr>
        <w:t>)</w:t>
      </w:r>
      <w:r>
        <w:rPr>
          <w:lang w:val="pt-BR"/>
        </w:rPr>
        <w:t xml:space="preserve">e </w:t>
      </w:r>
      <w:r w:rsidR="00201C53">
        <w:rPr>
          <w:lang w:val="pt-BR"/>
        </w:rPr>
        <w:t>óxido nitroso (</w:t>
      </w:r>
      <w:r>
        <w:rPr>
          <w:lang w:val="pt-BR"/>
        </w:rPr>
        <w:t>N</w:t>
      </w:r>
      <w:r w:rsidRPr="00C8072F">
        <w:rPr>
          <w:vertAlign w:val="subscript"/>
          <w:lang w:val="pt-BR"/>
        </w:rPr>
        <w:t>2</w:t>
      </w:r>
      <w:r w:rsidRPr="00C8072F">
        <w:rPr>
          <w:lang w:val="pt-BR"/>
        </w:rPr>
        <w:t>0</w:t>
      </w:r>
      <w:r w:rsidR="00201C53">
        <w:rPr>
          <w:lang w:val="pt-BR"/>
        </w:rPr>
        <w:t>)</w:t>
      </w:r>
      <w:r>
        <w:rPr>
          <w:lang w:val="pt-BR"/>
        </w:rPr>
        <w:t xml:space="preserve"> provenientes de queimadas associadas ao desflorestamento</w:t>
      </w:r>
      <w:r w:rsidRPr="00C8072F">
        <w:rPr>
          <w:lang w:val="pt-BR"/>
        </w:rPr>
        <w:t>,</w:t>
      </w:r>
      <w:r>
        <w:rPr>
          <w:lang w:val="pt-BR"/>
        </w:rPr>
        <w:t xml:space="preserve"> queimadas em áreas agrícolas e queimadas em formações campestres – as </w:t>
      </w:r>
      <w:r>
        <w:rPr>
          <w:lang w:val="pt-BR"/>
        </w:rPr>
        <w:lastRenderedPageBreak/>
        <w:t>emissões do dióxido de carbono já estão sendo contabilizadas na emissões de mudança de uso da terra. Os dados, produzidos mensal</w:t>
      </w:r>
      <w:r w:rsidR="00201C53">
        <w:rPr>
          <w:lang w:val="pt-BR"/>
        </w:rPr>
        <w:t>mente</w:t>
      </w:r>
      <w:r>
        <w:rPr>
          <w:lang w:val="pt-BR"/>
        </w:rPr>
        <w:t xml:space="preserve"> durante todo o período de referência (20</w:t>
      </w:r>
      <w:r w:rsidR="00583EC2">
        <w:rPr>
          <w:lang w:val="pt-BR"/>
        </w:rPr>
        <w:t>10</w:t>
      </w:r>
      <w:r>
        <w:rPr>
          <w:lang w:val="pt-BR"/>
        </w:rPr>
        <w:t>-201</w:t>
      </w:r>
      <w:r w:rsidR="00583EC2">
        <w:rPr>
          <w:lang w:val="pt-BR"/>
        </w:rPr>
        <w:t>9</w:t>
      </w:r>
      <w:r>
        <w:rPr>
          <w:lang w:val="pt-BR"/>
        </w:rPr>
        <w:t>), foram somados para gerar uma estimativa de emissão anual. Os dados foram convertidos para toneladas métricas de CO</w:t>
      </w:r>
      <w:r w:rsidRPr="00A863BD">
        <w:rPr>
          <w:vertAlign w:val="subscript"/>
          <w:lang w:val="pt-BR"/>
        </w:rPr>
        <w:t>2</w:t>
      </w:r>
      <w:r>
        <w:rPr>
          <w:lang w:val="pt-BR"/>
        </w:rPr>
        <w:t xml:space="preserve">e </w:t>
      </w:r>
      <w:r w:rsidRPr="00EE031A">
        <w:rPr>
          <w:lang w:val="pt-BR"/>
        </w:rPr>
        <w:t>utilizando o Potencial de Aquecimento Global</w:t>
      </w:r>
      <w:r>
        <w:rPr>
          <w:lang w:val="pt-BR"/>
        </w:rPr>
        <w:t>,</w:t>
      </w:r>
      <w:r w:rsidRPr="00EE031A">
        <w:rPr>
          <w:lang w:val="pt-BR"/>
        </w:rPr>
        <w:t xml:space="preserve"> </w:t>
      </w:r>
      <w:r>
        <w:rPr>
          <w:lang w:val="pt-BR"/>
        </w:rPr>
        <w:t>conforme</w:t>
      </w:r>
      <w:r w:rsidRPr="00EE031A">
        <w:rPr>
          <w:lang w:val="pt-BR"/>
        </w:rPr>
        <w:t xml:space="preserve"> o </w:t>
      </w:r>
      <w:r w:rsidRPr="003C250B">
        <w:rPr>
          <w:lang w:val="pt-BR"/>
        </w:rPr>
        <w:t>quinto relatório de avaliação</w:t>
      </w:r>
      <w:r w:rsidRPr="00EE031A">
        <w:rPr>
          <w:lang w:val="pt-BR"/>
        </w:rPr>
        <w:t xml:space="preserve"> </w:t>
      </w:r>
      <w:r>
        <w:rPr>
          <w:lang w:val="pt-BR"/>
        </w:rPr>
        <w:t xml:space="preserve">do </w:t>
      </w:r>
      <w:r w:rsidRPr="00EE031A">
        <w:rPr>
          <w:lang w:val="pt-BR"/>
        </w:rPr>
        <w:t>IPCC</w:t>
      </w:r>
      <w:r>
        <w:rPr>
          <w:lang w:val="pt-BR"/>
        </w:rPr>
        <w:t xml:space="preserve"> (</w:t>
      </w:r>
      <w:r w:rsidRPr="002B26D2">
        <w:rPr>
          <w:lang w:val="pt-BR"/>
        </w:rPr>
        <w:t xml:space="preserve">Figura </w:t>
      </w:r>
      <w:r w:rsidR="00A05B01">
        <w:rPr>
          <w:lang w:val="pt-BR"/>
        </w:rPr>
        <w:t>7</w:t>
      </w:r>
      <w:r w:rsidRPr="00C8072F">
        <w:rPr>
          <w:lang w:val="pt-BR"/>
        </w:rPr>
        <w:t xml:space="preserve">). </w:t>
      </w:r>
    </w:p>
    <w:p w14:paraId="46AE945D" w14:textId="0CBE30EE" w:rsidR="00D2632B" w:rsidRDefault="00D2632B" w:rsidP="00D2632B">
      <w:pPr>
        <w:jc w:val="both"/>
        <w:rPr>
          <w:lang w:val="pt-BR"/>
        </w:rPr>
      </w:pPr>
      <w:r w:rsidRPr="00717B41">
        <w:rPr>
          <w:lang w:val="pt-BR"/>
        </w:rPr>
        <w:t xml:space="preserve">É importante </w:t>
      </w:r>
      <w:r>
        <w:rPr>
          <w:lang w:val="pt-BR"/>
        </w:rPr>
        <w:t>frisar</w:t>
      </w:r>
      <w:r w:rsidRPr="00717B41">
        <w:rPr>
          <w:lang w:val="pt-BR"/>
        </w:rPr>
        <w:t xml:space="preserve"> que apenas as emissões de metano (CH</w:t>
      </w:r>
      <w:r w:rsidRPr="00717B41">
        <w:rPr>
          <w:vertAlign w:val="subscript"/>
          <w:lang w:val="pt-BR"/>
        </w:rPr>
        <w:t>4</w:t>
      </w:r>
      <w:r w:rsidRPr="00717B41">
        <w:rPr>
          <w:lang w:val="pt-BR"/>
        </w:rPr>
        <w:t>) e óxido nitroso (N</w:t>
      </w:r>
      <w:r w:rsidRPr="00717B41">
        <w:rPr>
          <w:vertAlign w:val="subscript"/>
          <w:lang w:val="pt-BR"/>
        </w:rPr>
        <w:t>2</w:t>
      </w:r>
      <w:r w:rsidRPr="00717B41">
        <w:rPr>
          <w:lang w:val="pt-BR"/>
        </w:rPr>
        <w:t>O) do GFED fora</w:t>
      </w:r>
      <w:r>
        <w:rPr>
          <w:lang w:val="pt-BR"/>
        </w:rPr>
        <w:t xml:space="preserve">m consideradas, pois as estimativas de emissões de dióxido de carbono </w:t>
      </w:r>
      <w:r w:rsidRPr="00717B41">
        <w:rPr>
          <w:lang w:val="pt-BR"/>
        </w:rPr>
        <w:t>(CO</w:t>
      </w:r>
      <w:r w:rsidRPr="00717B41">
        <w:rPr>
          <w:vertAlign w:val="subscript"/>
          <w:lang w:val="pt-BR"/>
        </w:rPr>
        <w:t>2</w:t>
      </w:r>
      <w:r w:rsidRPr="00717B41">
        <w:rPr>
          <w:lang w:val="pt-BR"/>
        </w:rPr>
        <w:t>)</w:t>
      </w:r>
      <w:r>
        <w:rPr>
          <w:lang w:val="pt-BR"/>
        </w:rPr>
        <w:t xml:space="preserve"> utilizaram o enfoque de multiplicação de dados de atividades e fatores de emissão.</w:t>
      </w:r>
    </w:p>
    <w:p w14:paraId="7767DE0B" w14:textId="77777777" w:rsidR="00B159F1" w:rsidRPr="00C8072F" w:rsidRDefault="00B159F1" w:rsidP="00D2632B">
      <w:pPr>
        <w:jc w:val="both"/>
        <w:rPr>
          <w:lang w:val="pt-BR"/>
        </w:rPr>
      </w:pPr>
    </w:p>
    <w:p w14:paraId="327E9917" w14:textId="6B7ADD1A" w:rsidR="00D2632B" w:rsidRPr="002B26D2" w:rsidRDefault="00C61EDF" w:rsidP="00D2632B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63812534" wp14:editId="11C525E8">
            <wp:extent cx="5400040" cy="2176145"/>
            <wp:effectExtent l="0" t="0" r="10160" b="14605"/>
            <wp:docPr id="21" name="Gráfico 21">
              <a:extLst xmlns:a="http://schemas.openxmlformats.org/drawingml/2006/main">
                <a:ext uri="{FF2B5EF4-FFF2-40B4-BE49-F238E27FC236}">
                  <a16:creationId xmlns:a16="http://schemas.microsoft.com/office/drawing/2014/main" id="{27F6AB24-119A-43CA-8E28-A26A270B8D3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3DC3D103" w14:textId="57A68C50" w:rsidR="00D2632B" w:rsidRPr="00C8072F" w:rsidRDefault="00D2632B" w:rsidP="00D2632B">
      <w:pPr>
        <w:pStyle w:val="Caption"/>
        <w:rPr>
          <w:lang w:val="pt-BR"/>
        </w:rPr>
      </w:pPr>
      <w:bookmarkStart w:id="8" w:name="_Ref32357477"/>
      <w:r w:rsidRPr="002B26D2">
        <w:rPr>
          <w:lang w:val="pt-BR"/>
        </w:rPr>
        <w:t xml:space="preserve">Figura </w:t>
      </w:r>
      <w:r w:rsidR="00A05B01">
        <w:rPr>
          <w:lang w:val="pt-BR"/>
        </w:rPr>
        <w:t>7</w:t>
      </w:r>
      <w:bookmarkEnd w:id="8"/>
      <w:r w:rsidRPr="002B26D2">
        <w:rPr>
          <w:lang w:val="pt-BR"/>
        </w:rPr>
        <w:t xml:space="preserve">: Emissões </w:t>
      </w:r>
      <w:r>
        <w:rPr>
          <w:lang w:val="pt-BR"/>
        </w:rPr>
        <w:t>de CH</w:t>
      </w:r>
      <w:r w:rsidRPr="00DF1517">
        <w:rPr>
          <w:vertAlign w:val="subscript"/>
          <w:lang w:val="pt-BR"/>
        </w:rPr>
        <w:t>4</w:t>
      </w:r>
      <w:r>
        <w:rPr>
          <w:lang w:val="pt-BR"/>
        </w:rPr>
        <w:t xml:space="preserve"> e N</w:t>
      </w:r>
      <w:r w:rsidRPr="00DF1517">
        <w:rPr>
          <w:vertAlign w:val="subscript"/>
          <w:lang w:val="pt-BR"/>
        </w:rPr>
        <w:t>2</w:t>
      </w:r>
      <w:r>
        <w:rPr>
          <w:lang w:val="pt-BR"/>
        </w:rPr>
        <w:t xml:space="preserve">Opor queimadas </w:t>
      </w:r>
      <w:r w:rsidRPr="002B26D2">
        <w:rPr>
          <w:lang w:val="pt-BR"/>
        </w:rPr>
        <w:t>no estado d</w:t>
      </w:r>
      <w:r>
        <w:rPr>
          <w:lang w:val="pt-BR"/>
        </w:rPr>
        <w:t>e</w:t>
      </w:r>
      <w:r w:rsidRPr="002B26D2">
        <w:rPr>
          <w:lang w:val="pt-BR"/>
        </w:rPr>
        <w:t xml:space="preserve"> </w:t>
      </w:r>
      <w:r>
        <w:rPr>
          <w:lang w:val="pt-BR"/>
        </w:rPr>
        <w:t xml:space="preserve">São Paulo </w:t>
      </w:r>
      <w:r w:rsidRPr="002B26D2">
        <w:rPr>
          <w:lang w:val="pt-BR"/>
        </w:rPr>
        <w:t>de acordo com o GFED</w:t>
      </w:r>
    </w:p>
    <w:p w14:paraId="1A0A792A" w14:textId="77777777" w:rsidR="00443F2A" w:rsidRDefault="00443F2A" w:rsidP="00D2632B">
      <w:pPr>
        <w:jc w:val="both"/>
        <w:rPr>
          <w:lang w:val="pt-BR"/>
        </w:rPr>
      </w:pPr>
    </w:p>
    <w:p w14:paraId="1C3628C6" w14:textId="7AAEAC07" w:rsidR="00D2632B" w:rsidRDefault="00D2632B" w:rsidP="00D2632B">
      <w:pPr>
        <w:jc w:val="both"/>
        <w:rPr>
          <w:lang w:val="pt-BR"/>
        </w:rPr>
      </w:pPr>
      <w:r>
        <w:rPr>
          <w:lang w:val="pt-BR"/>
        </w:rPr>
        <w:t xml:space="preserve">As emissões totais, em tCO2e, estão apresentadas na </w:t>
      </w:r>
      <w:r w:rsidRPr="00850376">
        <w:rPr>
          <w:lang w:val="pt-BR"/>
        </w:rPr>
        <w:t xml:space="preserve">Figura </w:t>
      </w:r>
      <w:r w:rsidR="00C61EDF">
        <w:rPr>
          <w:noProof/>
          <w:lang w:val="pt-BR"/>
        </w:rPr>
        <w:t>8</w:t>
      </w:r>
      <w:r>
        <w:rPr>
          <w:lang w:val="pt-BR"/>
        </w:rPr>
        <w:t>. Nota-se uma tendência de estabilização e redução das emissões provenientes de queimadas no passado recente (entre 201</w:t>
      </w:r>
      <w:r w:rsidR="00C61EDF">
        <w:rPr>
          <w:lang w:val="pt-BR"/>
        </w:rPr>
        <w:t>7</w:t>
      </w:r>
      <w:r>
        <w:rPr>
          <w:lang w:val="pt-BR"/>
        </w:rPr>
        <w:t xml:space="preserve"> e 2018), segundo as bases do GFED.</w:t>
      </w:r>
    </w:p>
    <w:p w14:paraId="64C6EEBF" w14:textId="49D6A7CE" w:rsidR="00D2632B" w:rsidRDefault="00D2632B" w:rsidP="00D2632B">
      <w:pPr>
        <w:jc w:val="both"/>
        <w:rPr>
          <w:lang w:val="pt-BR"/>
        </w:rPr>
      </w:pPr>
    </w:p>
    <w:p w14:paraId="1ED8CF15" w14:textId="62CB5EBC" w:rsidR="0001671B" w:rsidRPr="00C61EDF" w:rsidRDefault="00C61EDF" w:rsidP="00D2632B">
      <w:pPr>
        <w:jc w:val="both"/>
        <w:rPr>
          <w:lang w:val="pt-BR"/>
        </w:rPr>
      </w:pPr>
      <w:r>
        <w:rPr>
          <w:noProof/>
        </w:rPr>
        <w:drawing>
          <wp:inline distT="0" distB="0" distL="0" distR="0" wp14:anchorId="4BCF232D" wp14:editId="162AA937">
            <wp:extent cx="5400040" cy="2352675"/>
            <wp:effectExtent l="0" t="0" r="10160" b="9525"/>
            <wp:docPr id="25" name="Gráfico 25">
              <a:extLst xmlns:a="http://schemas.openxmlformats.org/drawingml/2006/main">
                <a:ext uri="{FF2B5EF4-FFF2-40B4-BE49-F238E27FC236}">
                  <a16:creationId xmlns:a16="http://schemas.microsoft.com/office/drawing/2014/main" id="{DC6E329C-F643-414F-B882-13201CC047F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3EC205C8" w14:textId="625D60E4" w:rsidR="00D2632B" w:rsidRDefault="00D2632B" w:rsidP="00D2632B">
      <w:pPr>
        <w:pStyle w:val="Caption"/>
        <w:rPr>
          <w:lang w:val="pt-BR"/>
        </w:rPr>
      </w:pPr>
      <w:bookmarkStart w:id="9" w:name="_Ref48741550"/>
      <w:r w:rsidRPr="00850376">
        <w:rPr>
          <w:lang w:val="pt-BR"/>
        </w:rPr>
        <w:t xml:space="preserve">Figura </w:t>
      </w:r>
      <w:r w:rsidR="00C61EDF">
        <w:rPr>
          <w:lang w:val="pt-BR"/>
        </w:rPr>
        <w:t>8</w:t>
      </w:r>
      <w:bookmarkEnd w:id="9"/>
      <w:r w:rsidRPr="00850376">
        <w:rPr>
          <w:lang w:val="pt-BR"/>
        </w:rPr>
        <w:t xml:space="preserve">: Emissões de </w:t>
      </w:r>
      <w:r w:rsidR="0001671B">
        <w:rPr>
          <w:lang w:val="pt-BR"/>
        </w:rPr>
        <w:t>t</w:t>
      </w:r>
      <w:r w:rsidRPr="00850376">
        <w:rPr>
          <w:lang w:val="pt-BR"/>
        </w:rPr>
        <w:t>CO</w:t>
      </w:r>
      <w:r w:rsidRPr="00850376">
        <w:rPr>
          <w:vertAlign w:val="subscript"/>
          <w:lang w:val="pt-BR"/>
        </w:rPr>
        <w:t>2</w:t>
      </w:r>
      <w:r w:rsidRPr="00850376">
        <w:rPr>
          <w:lang w:val="pt-BR"/>
        </w:rPr>
        <w:t xml:space="preserve">e totais provenientes de queimadas </w:t>
      </w:r>
      <w:r>
        <w:rPr>
          <w:lang w:val="pt-BR"/>
        </w:rPr>
        <w:t>em</w:t>
      </w:r>
      <w:r w:rsidRPr="00850376">
        <w:rPr>
          <w:lang w:val="pt-BR"/>
        </w:rPr>
        <w:t xml:space="preserve"> </w:t>
      </w:r>
      <w:r>
        <w:rPr>
          <w:lang w:val="pt-BR"/>
        </w:rPr>
        <w:t>São Paulo</w:t>
      </w:r>
      <w:r w:rsidRPr="00850376">
        <w:rPr>
          <w:lang w:val="pt-BR"/>
        </w:rPr>
        <w:t xml:space="preserve">. </w:t>
      </w:r>
    </w:p>
    <w:p w14:paraId="14514484" w14:textId="77777777" w:rsidR="00B159F1" w:rsidRDefault="00B159F1" w:rsidP="005224DF">
      <w:pPr>
        <w:rPr>
          <w:lang w:val="pt-BR"/>
        </w:rPr>
      </w:pPr>
    </w:p>
    <w:p w14:paraId="7B6CFBC9" w14:textId="5E005D47" w:rsidR="000627E9" w:rsidRDefault="00C23D19" w:rsidP="00DB3A6D">
      <w:pPr>
        <w:pStyle w:val="Heading2"/>
        <w:jc w:val="both"/>
        <w:rPr>
          <w:lang w:val="pt-BR"/>
        </w:rPr>
      </w:pPr>
      <w:r w:rsidRPr="00C23D19">
        <w:rPr>
          <w:lang w:val="pt-BR"/>
        </w:rPr>
        <w:lastRenderedPageBreak/>
        <w:t>Projeção futura</w:t>
      </w:r>
      <w:r w:rsidR="0001154A">
        <w:rPr>
          <w:lang w:val="pt-BR"/>
        </w:rPr>
        <w:t>:</w:t>
      </w:r>
      <w:r w:rsidRPr="00C23D19">
        <w:rPr>
          <w:lang w:val="pt-BR"/>
        </w:rPr>
        <w:t xml:space="preserve"> cenário linha de base</w:t>
      </w:r>
    </w:p>
    <w:p w14:paraId="567C45C2" w14:textId="77777777" w:rsidR="0001671B" w:rsidRPr="0001671B" w:rsidRDefault="0001671B" w:rsidP="0001671B">
      <w:pPr>
        <w:rPr>
          <w:lang w:val="pt-BR"/>
        </w:rPr>
      </w:pPr>
    </w:p>
    <w:p w14:paraId="1233B84E" w14:textId="788D137E" w:rsidR="000627E9" w:rsidRDefault="000627E9" w:rsidP="000627E9">
      <w:pPr>
        <w:pStyle w:val="Heading3"/>
        <w:rPr>
          <w:lang w:val="pt-BR"/>
        </w:rPr>
      </w:pPr>
      <w:r>
        <w:rPr>
          <w:lang w:val="pt-BR"/>
        </w:rPr>
        <w:t>Mudanças no uso da terra</w:t>
      </w:r>
    </w:p>
    <w:p w14:paraId="6D5CFC1A" w14:textId="76B0BE50" w:rsidR="0018149C" w:rsidRDefault="00C23D19" w:rsidP="00DB3A6D">
      <w:pPr>
        <w:jc w:val="both"/>
        <w:rPr>
          <w:lang w:val="pt-BR"/>
        </w:rPr>
      </w:pPr>
      <w:r w:rsidRPr="00C23D19">
        <w:rPr>
          <w:lang w:val="pt-BR"/>
        </w:rPr>
        <w:t xml:space="preserve">Considerando </w:t>
      </w:r>
      <w:r>
        <w:rPr>
          <w:lang w:val="pt-BR"/>
        </w:rPr>
        <w:t>a</w:t>
      </w:r>
      <w:r w:rsidRPr="00C23D19">
        <w:rPr>
          <w:lang w:val="pt-BR"/>
        </w:rPr>
        <w:t xml:space="preserve"> relativa estabilidade e c</w:t>
      </w:r>
      <w:r>
        <w:rPr>
          <w:lang w:val="pt-BR"/>
        </w:rPr>
        <w:t xml:space="preserve">onsequentemente ausência de uma clara mudança na tendência do uso da terra no período de </w:t>
      </w:r>
      <w:r w:rsidR="00D80D98">
        <w:rPr>
          <w:lang w:val="pt-BR"/>
        </w:rPr>
        <w:t>referência</w:t>
      </w:r>
      <w:r>
        <w:rPr>
          <w:lang w:val="pt-BR"/>
        </w:rPr>
        <w:t xml:space="preserve"> analisado, as futuras transições de mudanças do uso da terra foram projetadas utilizando a média histórica observada no período entre 20</w:t>
      </w:r>
      <w:r w:rsidR="007F5551">
        <w:rPr>
          <w:lang w:val="pt-BR"/>
        </w:rPr>
        <w:t>10</w:t>
      </w:r>
      <w:r>
        <w:rPr>
          <w:lang w:val="pt-BR"/>
        </w:rPr>
        <w:t>-201</w:t>
      </w:r>
      <w:r w:rsidR="007F5551">
        <w:rPr>
          <w:lang w:val="pt-BR"/>
        </w:rPr>
        <w:t>9</w:t>
      </w:r>
      <w:r>
        <w:rPr>
          <w:lang w:val="pt-BR"/>
        </w:rPr>
        <w:t xml:space="preserve"> (figura </w:t>
      </w:r>
      <w:r w:rsidR="007F5551">
        <w:rPr>
          <w:lang w:val="pt-BR"/>
        </w:rPr>
        <w:t>9</w:t>
      </w:r>
      <w:r>
        <w:rPr>
          <w:lang w:val="pt-BR"/>
        </w:rPr>
        <w:t xml:space="preserve">). </w:t>
      </w:r>
      <w:r w:rsidR="0018149C">
        <w:rPr>
          <w:lang w:val="pt-BR"/>
        </w:rPr>
        <w:t>A média anual das emissões projetadas para 20</w:t>
      </w:r>
      <w:r w:rsidR="007F5551">
        <w:rPr>
          <w:lang w:val="pt-BR"/>
        </w:rPr>
        <w:t>20</w:t>
      </w:r>
      <w:r w:rsidR="0018149C">
        <w:rPr>
          <w:lang w:val="pt-BR"/>
        </w:rPr>
        <w:t xml:space="preserve">-2050 foi de </w:t>
      </w:r>
      <w:r w:rsidR="00577243">
        <w:rPr>
          <w:lang w:val="pt-BR"/>
        </w:rPr>
        <w:t>13,9</w:t>
      </w:r>
      <w:r w:rsidR="0018149C">
        <w:rPr>
          <w:lang w:val="pt-BR"/>
        </w:rPr>
        <w:t xml:space="preserve"> </w:t>
      </w:r>
      <w:r w:rsidR="0018149C" w:rsidRPr="00EE031A">
        <w:rPr>
          <w:lang w:val="pt-BR"/>
        </w:rPr>
        <w:t>milhões de tCO</w:t>
      </w:r>
      <w:r w:rsidR="0018149C" w:rsidRPr="00EE031A">
        <w:rPr>
          <w:vertAlign w:val="subscript"/>
          <w:lang w:val="pt-BR"/>
        </w:rPr>
        <w:t>2</w:t>
      </w:r>
      <w:r w:rsidR="0018149C" w:rsidRPr="00EE031A">
        <w:rPr>
          <w:lang w:val="pt-BR"/>
        </w:rPr>
        <w:t>e</w:t>
      </w:r>
      <w:r w:rsidR="0018149C">
        <w:rPr>
          <w:lang w:val="pt-BR"/>
        </w:rPr>
        <w:t xml:space="preserve"> e a média anual das remoções para o mesmo período foi de </w:t>
      </w:r>
      <w:r w:rsidR="00577243">
        <w:rPr>
          <w:lang w:val="pt-BR"/>
        </w:rPr>
        <w:t>12,8</w:t>
      </w:r>
      <w:r w:rsidR="0018149C">
        <w:rPr>
          <w:lang w:val="pt-BR"/>
        </w:rPr>
        <w:t xml:space="preserve"> </w:t>
      </w:r>
      <w:r w:rsidR="0018149C" w:rsidRPr="00EE031A">
        <w:rPr>
          <w:lang w:val="pt-BR"/>
        </w:rPr>
        <w:t>milhões de tCO</w:t>
      </w:r>
      <w:r w:rsidR="0018149C" w:rsidRPr="00EE031A">
        <w:rPr>
          <w:vertAlign w:val="subscript"/>
          <w:lang w:val="pt-BR"/>
        </w:rPr>
        <w:t>2</w:t>
      </w:r>
      <w:r w:rsidR="0018149C" w:rsidRPr="00EE031A">
        <w:rPr>
          <w:lang w:val="pt-BR"/>
        </w:rPr>
        <w:t>e</w:t>
      </w:r>
    </w:p>
    <w:p w14:paraId="68BE6C6F" w14:textId="75B983A2" w:rsidR="00DB3A6D" w:rsidRDefault="00577243" w:rsidP="00DB3A6D">
      <w:pPr>
        <w:pStyle w:val="Caption"/>
        <w:jc w:val="both"/>
        <w:rPr>
          <w:noProof/>
        </w:rPr>
      </w:pPr>
      <w:r>
        <w:rPr>
          <w:noProof/>
        </w:rPr>
        <w:drawing>
          <wp:inline distT="0" distB="0" distL="0" distR="0" wp14:anchorId="68FBDBE1" wp14:editId="19BB1941">
            <wp:extent cx="5400040" cy="2193290"/>
            <wp:effectExtent l="0" t="0" r="10160" b="16510"/>
            <wp:docPr id="27" name="Gráfico 27">
              <a:extLst xmlns:a="http://schemas.openxmlformats.org/drawingml/2006/main">
                <a:ext uri="{FF2B5EF4-FFF2-40B4-BE49-F238E27FC236}">
                  <a16:creationId xmlns:a16="http://schemas.microsoft.com/office/drawing/2014/main" id="{BEA5B6C1-0304-4ECC-B6AE-44D16218286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6C52D2AF" w14:textId="1492B054" w:rsidR="00DB3A6D" w:rsidRDefault="006F1B2D" w:rsidP="006F1B2D">
      <w:pPr>
        <w:pStyle w:val="Caption"/>
        <w:rPr>
          <w:lang w:val="pt-BR"/>
        </w:rPr>
      </w:pPr>
      <w:bookmarkStart w:id="10" w:name="_Ref26707316"/>
      <w:r w:rsidRPr="006F1B2D">
        <w:rPr>
          <w:lang w:val="pt-BR"/>
        </w:rPr>
        <w:t xml:space="preserve">Figura </w:t>
      </w:r>
      <w:r w:rsidR="007F5551">
        <w:rPr>
          <w:lang w:val="pt-BR"/>
        </w:rPr>
        <w:t>9</w:t>
      </w:r>
      <w:bookmarkEnd w:id="10"/>
      <w:r w:rsidR="00DB3A6D" w:rsidRPr="001F45D0">
        <w:rPr>
          <w:lang w:val="pt-BR"/>
        </w:rPr>
        <w:t xml:space="preserve">: </w:t>
      </w:r>
      <w:r w:rsidR="001F45D0" w:rsidRPr="001F45D0">
        <w:rPr>
          <w:lang w:val="pt-BR"/>
        </w:rPr>
        <w:t xml:space="preserve">Projeção das emissões e remoções para o ano de 2050 resultantes das transições dos usos </w:t>
      </w:r>
      <w:r w:rsidR="001F45D0">
        <w:rPr>
          <w:lang w:val="pt-BR"/>
        </w:rPr>
        <w:t xml:space="preserve">da terra no estado de SP. </w:t>
      </w:r>
    </w:p>
    <w:p w14:paraId="5A8335B8" w14:textId="77777777" w:rsidR="0001154A" w:rsidRPr="0001154A" w:rsidRDefault="0001154A" w:rsidP="0001154A">
      <w:pPr>
        <w:rPr>
          <w:lang w:val="pt-BR"/>
        </w:rPr>
      </w:pPr>
    </w:p>
    <w:p w14:paraId="40698726" w14:textId="1867F202" w:rsidR="00DB3A6D" w:rsidRDefault="001F45D0" w:rsidP="001F45D0">
      <w:pPr>
        <w:jc w:val="both"/>
        <w:rPr>
          <w:lang w:val="pt-BR"/>
        </w:rPr>
      </w:pPr>
      <w:r>
        <w:rPr>
          <w:lang w:val="pt-BR"/>
        </w:rPr>
        <w:t xml:space="preserve">A figura </w:t>
      </w:r>
      <w:r w:rsidR="00F92CAB">
        <w:rPr>
          <w:lang w:val="pt-BR"/>
        </w:rPr>
        <w:t>10</w:t>
      </w:r>
      <w:r>
        <w:rPr>
          <w:lang w:val="pt-BR"/>
        </w:rPr>
        <w:t>, demonstra a d</w:t>
      </w:r>
      <w:r w:rsidRPr="001F45D0">
        <w:rPr>
          <w:lang w:val="pt-BR"/>
        </w:rPr>
        <w:t>esagrega</w:t>
      </w:r>
      <w:r>
        <w:rPr>
          <w:lang w:val="pt-BR"/>
        </w:rPr>
        <w:t>ção</w:t>
      </w:r>
      <w:r w:rsidRPr="001F45D0">
        <w:rPr>
          <w:lang w:val="pt-BR"/>
        </w:rPr>
        <w:t xml:space="preserve"> </w:t>
      </w:r>
      <w:r>
        <w:rPr>
          <w:lang w:val="pt-BR"/>
        </w:rPr>
        <w:t>d</w:t>
      </w:r>
      <w:r w:rsidRPr="001F45D0">
        <w:rPr>
          <w:lang w:val="pt-BR"/>
        </w:rPr>
        <w:t>as emissões e r</w:t>
      </w:r>
      <w:r>
        <w:rPr>
          <w:lang w:val="pt-BR"/>
        </w:rPr>
        <w:t>emoções por tipos de transição do uso da terra</w:t>
      </w:r>
      <w:r w:rsidR="00454C96">
        <w:rPr>
          <w:lang w:val="pt-BR"/>
        </w:rPr>
        <w:t xml:space="preserve">, e permanência florestal; </w:t>
      </w:r>
      <w:r>
        <w:rPr>
          <w:lang w:val="pt-BR"/>
        </w:rPr>
        <w:t xml:space="preserve">e indicam a importância de fomentar a restauração </w:t>
      </w:r>
      <w:r w:rsidR="00454C96">
        <w:rPr>
          <w:lang w:val="pt-BR"/>
        </w:rPr>
        <w:t xml:space="preserve">e a conservação </w:t>
      </w:r>
      <w:r w:rsidR="00CB19DB">
        <w:rPr>
          <w:lang w:val="pt-BR"/>
        </w:rPr>
        <w:t>florestal</w:t>
      </w:r>
      <w:r w:rsidR="00454C96">
        <w:rPr>
          <w:lang w:val="pt-BR"/>
        </w:rPr>
        <w:t xml:space="preserve"> n</w:t>
      </w:r>
      <w:r>
        <w:rPr>
          <w:lang w:val="pt-BR"/>
        </w:rPr>
        <w:t xml:space="preserve">o estado de SP </w:t>
      </w:r>
      <w:r w:rsidR="00CB19DB">
        <w:rPr>
          <w:lang w:val="pt-BR"/>
        </w:rPr>
        <w:t xml:space="preserve">por meio de usos múltiplos, </w:t>
      </w:r>
      <w:r>
        <w:rPr>
          <w:lang w:val="pt-BR"/>
        </w:rPr>
        <w:t>como forma de mitigar as emissões de outras transições de usos da terra e possivelmente de outros setores da economia.</w:t>
      </w:r>
      <w:r w:rsidR="00DB3A6D" w:rsidRPr="001F45D0">
        <w:rPr>
          <w:lang w:val="pt-BR"/>
        </w:rPr>
        <w:t xml:space="preserve"> </w:t>
      </w:r>
    </w:p>
    <w:p w14:paraId="2B729526" w14:textId="14267427" w:rsidR="00DB3A6D" w:rsidRDefault="00DB3A9B" w:rsidP="00DB3A6D">
      <w:pPr>
        <w:jc w:val="both"/>
      </w:pPr>
      <w:r>
        <w:rPr>
          <w:noProof/>
        </w:rPr>
        <w:drawing>
          <wp:inline distT="0" distB="0" distL="0" distR="0" wp14:anchorId="2242B14B" wp14:editId="727F53B4">
            <wp:extent cx="5692140" cy="2514600"/>
            <wp:effectExtent l="0" t="0" r="3810" b="0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E34C187F-A900-46A8-810D-456D50AB114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0C9F5F9D" w14:textId="5151275B" w:rsidR="00DB3A6D" w:rsidRPr="00677E17" w:rsidRDefault="006F1B2D" w:rsidP="0001154A">
      <w:pPr>
        <w:pStyle w:val="Caption"/>
        <w:rPr>
          <w:lang w:val="pt-BR"/>
        </w:rPr>
      </w:pPr>
      <w:bookmarkStart w:id="11" w:name="_Ref26707303"/>
      <w:r w:rsidRPr="006F1B2D">
        <w:rPr>
          <w:lang w:val="pt-BR"/>
        </w:rPr>
        <w:t xml:space="preserve">Figura </w:t>
      </w:r>
      <w:r w:rsidR="00F92CAB">
        <w:rPr>
          <w:lang w:val="pt-BR"/>
        </w:rPr>
        <w:t>10</w:t>
      </w:r>
      <w:bookmarkEnd w:id="11"/>
      <w:r w:rsidR="00DB3A6D" w:rsidRPr="001F45D0">
        <w:rPr>
          <w:lang w:val="pt-BR"/>
        </w:rPr>
        <w:t xml:space="preserve">: </w:t>
      </w:r>
      <w:r w:rsidR="001F45D0" w:rsidRPr="001F45D0">
        <w:rPr>
          <w:lang w:val="pt-BR"/>
        </w:rPr>
        <w:t>Projeção das emissões e remoções de GEE para 2050 por tipo de uso da terra no estado</w:t>
      </w:r>
      <w:r w:rsidR="001F45D0">
        <w:rPr>
          <w:lang w:val="pt-BR"/>
        </w:rPr>
        <w:t xml:space="preserve"> de SP. </w:t>
      </w:r>
    </w:p>
    <w:sectPr w:rsidR="00DB3A6D" w:rsidRPr="00677E17" w:rsidSect="005356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01568E" w14:textId="77777777" w:rsidR="00B159F1" w:rsidRDefault="00B159F1" w:rsidP="000F2D30">
      <w:pPr>
        <w:spacing w:after="0" w:line="240" w:lineRule="auto"/>
      </w:pPr>
      <w:r>
        <w:separator/>
      </w:r>
    </w:p>
  </w:endnote>
  <w:endnote w:type="continuationSeparator" w:id="0">
    <w:p w14:paraId="48077258" w14:textId="77777777" w:rsidR="00B159F1" w:rsidRDefault="00B159F1" w:rsidP="000F2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 LT Std 55 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892342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165422" w14:textId="491D6081" w:rsidR="00B159F1" w:rsidRDefault="00B159F1">
        <w:pPr>
          <w:pStyle w:val="Footer"/>
          <w:jc w:val="right"/>
        </w:pPr>
        <w:r>
          <w:rPr>
            <w:noProof/>
          </w:rPr>
          <w:t>2</w:t>
        </w:r>
      </w:p>
    </w:sdtContent>
  </w:sdt>
  <w:p w14:paraId="1AC31E54" w14:textId="77777777" w:rsidR="00B159F1" w:rsidRDefault="00B159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CBB468" w14:textId="77777777" w:rsidR="00B159F1" w:rsidRDefault="00B159F1" w:rsidP="000F2D30">
      <w:pPr>
        <w:spacing w:after="0" w:line="240" w:lineRule="auto"/>
      </w:pPr>
      <w:r>
        <w:separator/>
      </w:r>
    </w:p>
  </w:footnote>
  <w:footnote w:type="continuationSeparator" w:id="0">
    <w:p w14:paraId="0298F77D" w14:textId="77777777" w:rsidR="00B159F1" w:rsidRDefault="00B159F1" w:rsidP="000F2D30">
      <w:pPr>
        <w:spacing w:after="0" w:line="240" w:lineRule="auto"/>
      </w:pPr>
      <w:r>
        <w:continuationSeparator/>
      </w:r>
    </w:p>
  </w:footnote>
  <w:footnote w:id="1">
    <w:p w14:paraId="03A36729" w14:textId="77777777" w:rsidR="00B159F1" w:rsidRPr="00472CA3" w:rsidRDefault="00B159F1">
      <w:pPr>
        <w:pStyle w:val="FootnoteText"/>
        <w:rPr>
          <w:lang w:val="pt-BR"/>
        </w:rPr>
      </w:pPr>
      <w:r w:rsidRPr="00472CA3">
        <w:rPr>
          <w:rStyle w:val="FootnoteReference"/>
        </w:rPr>
        <w:footnoteRef/>
      </w:r>
      <w:r w:rsidRPr="00472CA3">
        <w:t xml:space="preserve"> </w:t>
      </w:r>
      <w:hyperlink r:id="rId1" w:history="1">
        <w:r w:rsidRPr="00472CA3">
          <w:rPr>
            <w:rStyle w:val="Hyperlink"/>
          </w:rPr>
          <w:t>https://smastr16.blob.core.windows.net/portalnovomedia/2013/01/lei_13798_portugues.pdf</w:t>
        </w:r>
      </w:hyperlink>
      <w:r w:rsidRPr="00472CA3">
        <w:t xml:space="preserve"> </w:t>
      </w:r>
    </w:p>
  </w:footnote>
  <w:footnote w:id="2">
    <w:p w14:paraId="2EB94D7D" w14:textId="77777777" w:rsidR="00B159F1" w:rsidRPr="00472CA3" w:rsidRDefault="00B159F1">
      <w:pPr>
        <w:pStyle w:val="FootnoteText"/>
        <w:rPr>
          <w:lang w:val="pt-BR"/>
        </w:rPr>
      </w:pPr>
      <w:r w:rsidRPr="00472CA3">
        <w:rPr>
          <w:rStyle w:val="FootnoteReference"/>
        </w:rPr>
        <w:footnoteRef/>
      </w:r>
      <w:r w:rsidRPr="00472CA3">
        <w:rPr>
          <w:lang w:val="pt-BR"/>
        </w:rPr>
        <w:t xml:space="preserve"> </w:t>
      </w:r>
      <w:hyperlink r:id="rId2" w:history="1">
        <w:r w:rsidRPr="00472CA3">
          <w:rPr>
            <w:rStyle w:val="Hyperlink"/>
            <w:lang w:val="pt-BR"/>
          </w:rPr>
          <w:t>https://www.ipcc-nggip.iges.or.jp/public/2006gl/pdf/4_Volume4/V4_03_Ch3_Representation.pdf</w:t>
        </w:r>
      </w:hyperlink>
    </w:p>
  </w:footnote>
  <w:footnote w:id="3">
    <w:p w14:paraId="12758C98" w14:textId="3330EB64" w:rsidR="00B159F1" w:rsidRPr="00DA30C3" w:rsidRDefault="00B159F1" w:rsidP="002C60BA">
      <w:pPr>
        <w:pStyle w:val="FootnoteText"/>
        <w:rPr>
          <w:lang w:val="pt-BR"/>
        </w:rPr>
      </w:pPr>
      <w:r>
        <w:rPr>
          <w:rStyle w:val="FootnoteReference"/>
        </w:rPr>
        <w:footnoteRef/>
      </w:r>
      <w:r w:rsidRPr="00DA30C3">
        <w:rPr>
          <w:lang w:val="pt-BR"/>
        </w:rPr>
        <w:t xml:space="preserve"> </w:t>
      </w:r>
      <w:r>
        <w:rPr>
          <w:lang w:val="pt-BR"/>
        </w:rPr>
        <w:t xml:space="preserve">Disponível em: </w:t>
      </w:r>
      <w:hyperlink r:id="rId3" w:history="1">
        <w:r w:rsidRPr="00DA30C3">
          <w:rPr>
            <w:rStyle w:val="Hyperlink"/>
            <w:lang w:val="pt-BR"/>
          </w:rPr>
          <w:t>https://mapbiomas.org/colecoes-mapbiomas-1?cama_set_language=pt-BR</w:t>
        </w:r>
      </w:hyperlink>
      <w:r w:rsidR="0001154A" w:rsidRPr="0001154A">
        <w:rPr>
          <w:rStyle w:val="Hyperlink"/>
          <w:color w:val="auto"/>
          <w:u w:val="none"/>
          <w:lang w:val="pt-BR"/>
        </w:rPr>
        <w:t>.</w:t>
      </w:r>
      <w:r w:rsidRPr="0001154A">
        <w:rPr>
          <w:rStyle w:val="Hyperlink"/>
          <w:color w:val="auto"/>
          <w:u w:val="none"/>
          <w:lang w:val="pt-BR"/>
        </w:rPr>
        <w:t xml:space="preserve"> Acessado em </w:t>
      </w:r>
      <w:r w:rsidR="0001154A" w:rsidRPr="0001154A">
        <w:rPr>
          <w:rStyle w:val="Hyperlink"/>
          <w:color w:val="auto"/>
          <w:u w:val="none"/>
          <w:lang w:val="pt-BR"/>
        </w:rPr>
        <w:t>16/10/2020.</w:t>
      </w:r>
    </w:p>
  </w:footnote>
  <w:footnote w:id="4">
    <w:p w14:paraId="6180AC0A" w14:textId="3403868B" w:rsidR="00B159F1" w:rsidRPr="00CD6C39" w:rsidRDefault="00B159F1">
      <w:pPr>
        <w:pStyle w:val="FootnoteText"/>
        <w:rPr>
          <w:lang w:val="pt-BR"/>
        </w:rPr>
      </w:pPr>
      <w:r>
        <w:rPr>
          <w:rStyle w:val="FootnoteReference"/>
        </w:rPr>
        <w:footnoteRef/>
      </w:r>
      <w:r w:rsidRPr="00CD6C39">
        <w:rPr>
          <w:lang w:val="pt-BR"/>
        </w:rPr>
        <w:t xml:space="preserve"> </w:t>
      </w:r>
      <w:hyperlink r:id="rId4" w:history="1">
        <w:r w:rsidRPr="00074557">
          <w:rPr>
            <w:rStyle w:val="Hyperlink"/>
            <w:lang w:val="pt-BR"/>
          </w:rPr>
          <w:t>https://www.ipcc-nggip.iges.or.jp/public/wetlands/</w:t>
        </w:r>
      </w:hyperlink>
      <w:r>
        <w:rPr>
          <w:rStyle w:val="Hyperlink"/>
          <w:lang w:val="pt-BR"/>
        </w:rPr>
        <w:t xml:space="preserve"> </w:t>
      </w:r>
    </w:p>
  </w:footnote>
  <w:footnote w:id="5">
    <w:p w14:paraId="197DE4DE" w14:textId="77777777" w:rsidR="00B159F1" w:rsidRPr="00812680" w:rsidRDefault="00B159F1" w:rsidP="00C459DC">
      <w:pPr>
        <w:pStyle w:val="FootnoteText"/>
        <w:rPr>
          <w:lang w:val="pt-BR"/>
        </w:rPr>
      </w:pPr>
      <w:r>
        <w:rPr>
          <w:rStyle w:val="FootnoteReference"/>
        </w:rPr>
        <w:footnoteRef/>
      </w:r>
      <w:r w:rsidRPr="00812680">
        <w:rPr>
          <w:lang w:val="pt-BR"/>
        </w:rPr>
        <w:t xml:space="preserve"> Disponível em: </w:t>
      </w:r>
      <w:hyperlink r:id="rId5" w:history="1">
        <w:r w:rsidRPr="00812680">
          <w:rPr>
            <w:rStyle w:val="Hyperlink"/>
            <w:lang w:val="pt-BR"/>
          </w:rPr>
          <w:t>http://www.planalto.gov.br/ccivil_03/_ato2011-2014/2012/lei/l12651.htm</w:t>
        </w:r>
      </w:hyperlink>
    </w:p>
  </w:footnote>
  <w:footnote w:id="6">
    <w:p w14:paraId="563DB08A" w14:textId="77777777" w:rsidR="00B159F1" w:rsidRPr="004F69C0" w:rsidRDefault="00B159F1" w:rsidP="00D2632B">
      <w:pPr>
        <w:pStyle w:val="FootnoteText"/>
      </w:pPr>
      <w:r>
        <w:rPr>
          <w:rStyle w:val="FootnoteReference"/>
        </w:rPr>
        <w:footnoteRef/>
      </w:r>
      <w:r w:rsidRPr="004F69C0">
        <w:t xml:space="preserve"> </w:t>
      </w:r>
      <w:hyperlink r:id="rId6" w:history="1">
        <w:r w:rsidRPr="004F69C0">
          <w:rPr>
            <w:rStyle w:val="Hyperlink"/>
          </w:rPr>
          <w:t>https://www.globalfiredata.org/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062C1" w14:textId="08AD793A" w:rsidR="00B159F1" w:rsidRPr="00BC205E" w:rsidRDefault="00B159F1">
    <w:pPr>
      <w:pStyle w:val="Header"/>
      <w:rPr>
        <w:lang w:val="pt-BR"/>
      </w:rPr>
    </w:pPr>
    <w:r>
      <w:rPr>
        <w:noProof/>
        <w:lang w:val="pt-BR"/>
      </w:rPr>
      <w:drawing>
        <wp:anchor distT="0" distB="0" distL="114300" distR="114300" simplePos="0" relativeHeight="251658240" behindDoc="0" locked="0" layoutInCell="1" allowOverlap="1" wp14:anchorId="208CF284" wp14:editId="5F34DFC3">
          <wp:simplePos x="0" y="0"/>
          <wp:positionH relativeFrom="page">
            <wp:posOffset>5436235</wp:posOffset>
          </wp:positionH>
          <wp:positionV relativeFrom="topMargin">
            <wp:posOffset>95250</wp:posOffset>
          </wp:positionV>
          <wp:extent cx="1999615" cy="804545"/>
          <wp:effectExtent l="0" t="0" r="635" b="0"/>
          <wp:wrapSquare wrapText="bothSides"/>
          <wp:docPr id="26" name="Imagem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961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lang w:val="pt-BR"/>
      </w:rPr>
      <w:t xml:space="preserve">SP: </w:t>
    </w:r>
    <w:r w:rsidRPr="00BC205E">
      <w:rPr>
        <w:lang w:val="pt-BR"/>
      </w:rPr>
      <w:t xml:space="preserve">Setor de </w:t>
    </w:r>
    <w:r w:rsidR="0001154A">
      <w:rPr>
        <w:lang w:val="pt-BR"/>
      </w:rPr>
      <w:t>M</w:t>
    </w:r>
    <w:r w:rsidRPr="00BC205E">
      <w:rPr>
        <w:lang w:val="pt-BR"/>
      </w:rPr>
      <w:t xml:space="preserve">udanças no </w:t>
    </w:r>
    <w:r w:rsidR="0001154A">
      <w:rPr>
        <w:lang w:val="pt-BR"/>
      </w:rPr>
      <w:t>U</w:t>
    </w:r>
    <w:r w:rsidRPr="00BC205E">
      <w:rPr>
        <w:lang w:val="pt-BR"/>
      </w:rPr>
      <w:t xml:space="preserve">so da </w:t>
    </w:r>
    <w:r w:rsidR="0001154A">
      <w:rPr>
        <w:lang w:val="pt-BR"/>
      </w:rPr>
      <w:t>T</w:t>
    </w:r>
    <w:r w:rsidRPr="00BC205E">
      <w:rPr>
        <w:lang w:val="pt-BR"/>
      </w:rPr>
      <w:t>erra</w:t>
    </w:r>
    <w:r w:rsidR="0001154A">
      <w:rPr>
        <w:lang w:val="pt-BR"/>
      </w:rPr>
      <w:t xml:space="preserve"> e Florestas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C93"/>
    <w:multiLevelType w:val="hybridMultilevel"/>
    <w:tmpl w:val="B20ABF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E0A90"/>
    <w:multiLevelType w:val="hybridMultilevel"/>
    <w:tmpl w:val="AA32CA72"/>
    <w:lvl w:ilvl="0" w:tplc="14E62BE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D78DC"/>
    <w:multiLevelType w:val="hybridMultilevel"/>
    <w:tmpl w:val="D1A89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34F08"/>
    <w:multiLevelType w:val="hybridMultilevel"/>
    <w:tmpl w:val="4D82F0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73E33"/>
    <w:multiLevelType w:val="hybridMultilevel"/>
    <w:tmpl w:val="DCBC99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6BB"/>
    <w:rsid w:val="00004928"/>
    <w:rsid w:val="00010758"/>
    <w:rsid w:val="0001154A"/>
    <w:rsid w:val="0001671B"/>
    <w:rsid w:val="000202F2"/>
    <w:rsid w:val="00022A04"/>
    <w:rsid w:val="000343A4"/>
    <w:rsid w:val="00051476"/>
    <w:rsid w:val="000627E9"/>
    <w:rsid w:val="00071B8F"/>
    <w:rsid w:val="00093632"/>
    <w:rsid w:val="000A11CA"/>
    <w:rsid w:val="000A5CE2"/>
    <w:rsid w:val="000A711E"/>
    <w:rsid w:val="000A785D"/>
    <w:rsid w:val="000B5E47"/>
    <w:rsid w:val="000B71DA"/>
    <w:rsid w:val="000C090C"/>
    <w:rsid w:val="000D1C1A"/>
    <w:rsid w:val="000D5CE0"/>
    <w:rsid w:val="000E3A9B"/>
    <w:rsid w:val="000F2D30"/>
    <w:rsid w:val="00101B40"/>
    <w:rsid w:val="00121D0E"/>
    <w:rsid w:val="00140CDA"/>
    <w:rsid w:val="00142C54"/>
    <w:rsid w:val="001434B4"/>
    <w:rsid w:val="00155F0E"/>
    <w:rsid w:val="00162F09"/>
    <w:rsid w:val="00163B90"/>
    <w:rsid w:val="00173A9F"/>
    <w:rsid w:val="0018149C"/>
    <w:rsid w:val="001905C9"/>
    <w:rsid w:val="001A6F7A"/>
    <w:rsid w:val="001B0EC0"/>
    <w:rsid w:val="001B41C4"/>
    <w:rsid w:val="001B48B4"/>
    <w:rsid w:val="001C24E1"/>
    <w:rsid w:val="001D6AF7"/>
    <w:rsid w:val="001D702D"/>
    <w:rsid w:val="001E2113"/>
    <w:rsid w:val="001F45D0"/>
    <w:rsid w:val="00201C53"/>
    <w:rsid w:val="002103AD"/>
    <w:rsid w:val="0023766B"/>
    <w:rsid w:val="002559B8"/>
    <w:rsid w:val="0026053C"/>
    <w:rsid w:val="002618AB"/>
    <w:rsid w:val="00274104"/>
    <w:rsid w:val="0027410A"/>
    <w:rsid w:val="002858FE"/>
    <w:rsid w:val="002C60BA"/>
    <w:rsid w:val="002E6DF5"/>
    <w:rsid w:val="00317EB0"/>
    <w:rsid w:val="00356234"/>
    <w:rsid w:val="003A04CC"/>
    <w:rsid w:val="003A45E6"/>
    <w:rsid w:val="003A50AE"/>
    <w:rsid w:val="003A62B1"/>
    <w:rsid w:val="003B032D"/>
    <w:rsid w:val="003C3242"/>
    <w:rsid w:val="003C3A47"/>
    <w:rsid w:val="003C540C"/>
    <w:rsid w:val="003D46FE"/>
    <w:rsid w:val="003E775B"/>
    <w:rsid w:val="003F05B3"/>
    <w:rsid w:val="003F2785"/>
    <w:rsid w:val="004017E1"/>
    <w:rsid w:val="00413904"/>
    <w:rsid w:val="00443F2A"/>
    <w:rsid w:val="00454C96"/>
    <w:rsid w:val="00472CA3"/>
    <w:rsid w:val="00494F14"/>
    <w:rsid w:val="004A274A"/>
    <w:rsid w:val="004C2249"/>
    <w:rsid w:val="004D5B52"/>
    <w:rsid w:val="00501486"/>
    <w:rsid w:val="0050519E"/>
    <w:rsid w:val="005224DF"/>
    <w:rsid w:val="00533538"/>
    <w:rsid w:val="005356F2"/>
    <w:rsid w:val="005357AF"/>
    <w:rsid w:val="005408D5"/>
    <w:rsid w:val="0054427C"/>
    <w:rsid w:val="00545016"/>
    <w:rsid w:val="005512BD"/>
    <w:rsid w:val="005536EE"/>
    <w:rsid w:val="005568F9"/>
    <w:rsid w:val="00567C88"/>
    <w:rsid w:val="00577243"/>
    <w:rsid w:val="00582C2D"/>
    <w:rsid w:val="00583EC2"/>
    <w:rsid w:val="005A7584"/>
    <w:rsid w:val="005B3D1B"/>
    <w:rsid w:val="005B6FE4"/>
    <w:rsid w:val="005F511D"/>
    <w:rsid w:val="00612267"/>
    <w:rsid w:val="00615B9C"/>
    <w:rsid w:val="00641E09"/>
    <w:rsid w:val="0065467A"/>
    <w:rsid w:val="00677E17"/>
    <w:rsid w:val="00693006"/>
    <w:rsid w:val="006A69F5"/>
    <w:rsid w:val="006D165C"/>
    <w:rsid w:val="006D199E"/>
    <w:rsid w:val="006F1B2D"/>
    <w:rsid w:val="006F4700"/>
    <w:rsid w:val="006F55B7"/>
    <w:rsid w:val="00705CCE"/>
    <w:rsid w:val="00757D6D"/>
    <w:rsid w:val="007677F2"/>
    <w:rsid w:val="00775274"/>
    <w:rsid w:val="007853AF"/>
    <w:rsid w:val="00787C5A"/>
    <w:rsid w:val="007959CA"/>
    <w:rsid w:val="007A2C23"/>
    <w:rsid w:val="007B1287"/>
    <w:rsid w:val="007C5F0C"/>
    <w:rsid w:val="007F5551"/>
    <w:rsid w:val="008001A6"/>
    <w:rsid w:val="008124B0"/>
    <w:rsid w:val="0083239B"/>
    <w:rsid w:val="0083789A"/>
    <w:rsid w:val="00856F66"/>
    <w:rsid w:val="00877896"/>
    <w:rsid w:val="00897F67"/>
    <w:rsid w:val="008B3F6A"/>
    <w:rsid w:val="008B5A9E"/>
    <w:rsid w:val="008E66BB"/>
    <w:rsid w:val="00911C5D"/>
    <w:rsid w:val="00945E38"/>
    <w:rsid w:val="00946BD9"/>
    <w:rsid w:val="00954878"/>
    <w:rsid w:val="00957FF6"/>
    <w:rsid w:val="00992194"/>
    <w:rsid w:val="009B1090"/>
    <w:rsid w:val="009B59B8"/>
    <w:rsid w:val="009C567E"/>
    <w:rsid w:val="00A05B01"/>
    <w:rsid w:val="00A132BE"/>
    <w:rsid w:val="00A252ED"/>
    <w:rsid w:val="00A433B0"/>
    <w:rsid w:val="00A474A5"/>
    <w:rsid w:val="00A613BA"/>
    <w:rsid w:val="00A66363"/>
    <w:rsid w:val="00A72066"/>
    <w:rsid w:val="00A746A9"/>
    <w:rsid w:val="00A76EA1"/>
    <w:rsid w:val="00A770F0"/>
    <w:rsid w:val="00AA6FF3"/>
    <w:rsid w:val="00AB2DD9"/>
    <w:rsid w:val="00B12BEA"/>
    <w:rsid w:val="00B159F1"/>
    <w:rsid w:val="00B26F31"/>
    <w:rsid w:val="00B57518"/>
    <w:rsid w:val="00B744EE"/>
    <w:rsid w:val="00B81C19"/>
    <w:rsid w:val="00BC205E"/>
    <w:rsid w:val="00C21F19"/>
    <w:rsid w:val="00C225A4"/>
    <w:rsid w:val="00C23340"/>
    <w:rsid w:val="00C23D19"/>
    <w:rsid w:val="00C40EA4"/>
    <w:rsid w:val="00C459DC"/>
    <w:rsid w:val="00C45D4C"/>
    <w:rsid w:val="00C5510F"/>
    <w:rsid w:val="00C61EDF"/>
    <w:rsid w:val="00CB19DB"/>
    <w:rsid w:val="00CB227B"/>
    <w:rsid w:val="00CB757A"/>
    <w:rsid w:val="00CD07A4"/>
    <w:rsid w:val="00CD1498"/>
    <w:rsid w:val="00CD6C39"/>
    <w:rsid w:val="00CE3764"/>
    <w:rsid w:val="00CF5AB8"/>
    <w:rsid w:val="00D01667"/>
    <w:rsid w:val="00D2632B"/>
    <w:rsid w:val="00D440F4"/>
    <w:rsid w:val="00D77763"/>
    <w:rsid w:val="00D80D98"/>
    <w:rsid w:val="00DB3A6D"/>
    <w:rsid w:val="00DB3A9B"/>
    <w:rsid w:val="00DC607E"/>
    <w:rsid w:val="00DF57BA"/>
    <w:rsid w:val="00E22BCF"/>
    <w:rsid w:val="00E2355C"/>
    <w:rsid w:val="00E3423F"/>
    <w:rsid w:val="00E500BB"/>
    <w:rsid w:val="00E558DF"/>
    <w:rsid w:val="00E56579"/>
    <w:rsid w:val="00E81557"/>
    <w:rsid w:val="00E8319D"/>
    <w:rsid w:val="00E91663"/>
    <w:rsid w:val="00EB021A"/>
    <w:rsid w:val="00EB5D19"/>
    <w:rsid w:val="00EC2685"/>
    <w:rsid w:val="00ED0C62"/>
    <w:rsid w:val="00EE7C91"/>
    <w:rsid w:val="00F13E5D"/>
    <w:rsid w:val="00F32203"/>
    <w:rsid w:val="00F3293C"/>
    <w:rsid w:val="00F33709"/>
    <w:rsid w:val="00F55482"/>
    <w:rsid w:val="00F80700"/>
    <w:rsid w:val="00F92CAB"/>
    <w:rsid w:val="00FA157B"/>
    <w:rsid w:val="00FA32E4"/>
    <w:rsid w:val="00FD7D65"/>
    <w:rsid w:val="00FE2730"/>
    <w:rsid w:val="00FF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63F1B4E"/>
  <w15:chartTrackingRefBased/>
  <w15:docId w15:val="{E00872DE-69AA-48A9-83A4-55F11A3CE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6BB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59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66BB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bdr w:val="ni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72CA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E66BB"/>
    <w:rPr>
      <w:rFonts w:asciiTheme="majorHAnsi" w:eastAsiaTheme="majorEastAsia" w:hAnsiTheme="majorHAnsi" w:cstheme="majorBidi"/>
      <w:color w:val="2F5496" w:themeColor="accent1" w:themeShade="BF"/>
      <w:sz w:val="26"/>
      <w:szCs w:val="26"/>
      <w:bdr w:val="nil"/>
      <w:lang w:val="en-US"/>
    </w:rPr>
  </w:style>
  <w:style w:type="paragraph" w:styleId="ListParagraph">
    <w:name w:val="List Paragraph"/>
    <w:basedOn w:val="Normal"/>
    <w:uiPriority w:val="34"/>
    <w:qFormat/>
    <w:rsid w:val="008E66B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E66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66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66BB"/>
    <w:rPr>
      <w:sz w:val="20"/>
      <w:szCs w:val="20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8E66B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E66B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6BB"/>
    <w:rPr>
      <w:rFonts w:ascii="Segoe UI" w:hAnsi="Segoe UI" w:cs="Segoe UI"/>
      <w:sz w:val="18"/>
      <w:szCs w:val="18"/>
      <w:lang w:val="en-US"/>
    </w:rPr>
  </w:style>
  <w:style w:type="paragraph" w:styleId="FootnoteText">
    <w:name w:val="footnote text"/>
    <w:aliases w:val=" Char, Char2"/>
    <w:basedOn w:val="Normal"/>
    <w:link w:val="FootnoteTextChar"/>
    <w:uiPriority w:val="99"/>
    <w:unhideWhenUsed/>
    <w:rsid w:val="000F2D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 Char Char, Char2 Char"/>
    <w:basedOn w:val="DefaultParagraphFont"/>
    <w:link w:val="FootnoteText"/>
    <w:uiPriority w:val="99"/>
    <w:rsid w:val="000F2D30"/>
    <w:rPr>
      <w:sz w:val="20"/>
      <w:szCs w:val="20"/>
      <w:lang w:val="en-US"/>
    </w:rPr>
  </w:style>
  <w:style w:type="character" w:styleId="FootnoteReference">
    <w:name w:val="footnote reference"/>
    <w:aliases w:val="EN Footnote Reference,~L Footnote,fr,R&amp;A Footnote Reference"/>
    <w:basedOn w:val="DefaultParagraphFont"/>
    <w:uiPriority w:val="99"/>
    <w:unhideWhenUsed/>
    <w:rsid w:val="000F2D3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F2D3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2D30"/>
    <w:rPr>
      <w:color w:val="605E5C"/>
      <w:shd w:val="clear" w:color="auto" w:fill="E1DFDD"/>
    </w:rPr>
  </w:style>
  <w:style w:type="character" w:customStyle="1" w:styleId="st">
    <w:name w:val="st"/>
    <w:basedOn w:val="DefaultParagraphFont"/>
    <w:rsid w:val="003E775B"/>
  </w:style>
  <w:style w:type="character" w:styleId="Emphasis">
    <w:name w:val="Emphasis"/>
    <w:basedOn w:val="DefaultParagraphFont"/>
    <w:uiPriority w:val="20"/>
    <w:qFormat/>
    <w:rsid w:val="003E775B"/>
    <w:rPr>
      <w:i/>
      <w:iCs/>
    </w:rPr>
  </w:style>
  <w:style w:type="paragraph" w:customStyle="1" w:styleId="Default">
    <w:name w:val="Default"/>
    <w:rsid w:val="001905C9"/>
    <w:pPr>
      <w:autoSpaceDE w:val="0"/>
      <w:autoSpaceDN w:val="0"/>
      <w:adjustRightInd w:val="0"/>
      <w:spacing w:after="0" w:line="240" w:lineRule="auto"/>
    </w:pPr>
    <w:rPr>
      <w:rFonts w:ascii="Frutiger LT Std 55 Roman" w:hAnsi="Frutiger LT Std 55 Roman" w:cs="Frutiger LT Std 55 Roman"/>
      <w:color w:val="000000"/>
      <w:sz w:val="24"/>
      <w:szCs w:val="24"/>
      <w:lang w:val="en-US"/>
    </w:rPr>
  </w:style>
  <w:style w:type="character" w:customStyle="1" w:styleId="A41">
    <w:name w:val="A4+1"/>
    <w:uiPriority w:val="99"/>
    <w:rsid w:val="001905C9"/>
    <w:rPr>
      <w:rFonts w:cs="Frutiger LT Std 55 Roman"/>
      <w:color w:val="000000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472CA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B26F3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D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D65"/>
    <w:rPr>
      <w:b/>
      <w:bCs/>
      <w:sz w:val="20"/>
      <w:szCs w:val="20"/>
      <w:lang w:val="en-US"/>
    </w:rPr>
  </w:style>
  <w:style w:type="table" w:styleId="ListTable3-Accent1">
    <w:name w:val="List Table 3 Accent 1"/>
    <w:basedOn w:val="TableNormal"/>
    <w:uiPriority w:val="48"/>
    <w:rsid w:val="002559B8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EB02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21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B02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21A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B159F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3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hart" Target="charts/chart2.xml"/><Relationship Id="rId18" Type="http://schemas.openxmlformats.org/officeDocument/2006/relationships/chart" Target="charts/chart5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chart" Target="charts/chart8.xml"/><Relationship Id="rId7" Type="http://schemas.openxmlformats.org/officeDocument/2006/relationships/styles" Target="styles.xml"/><Relationship Id="rId12" Type="http://schemas.openxmlformats.org/officeDocument/2006/relationships/chart" Target="charts/chart1.xml"/><Relationship Id="rId17" Type="http://schemas.openxmlformats.org/officeDocument/2006/relationships/chart" Target="charts/chart4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chart" Target="charts/chart7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chart" Target="charts/chart11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23" Type="http://schemas.openxmlformats.org/officeDocument/2006/relationships/chart" Target="charts/chart10.xml"/><Relationship Id="rId10" Type="http://schemas.openxmlformats.org/officeDocument/2006/relationships/footnotes" Target="footnotes.xml"/><Relationship Id="rId19" Type="http://schemas.openxmlformats.org/officeDocument/2006/relationships/chart" Target="charts/chart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chart" Target="charts/chart3.xml"/><Relationship Id="rId22" Type="http://schemas.openxmlformats.org/officeDocument/2006/relationships/chart" Target="charts/chart9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about:blank" TargetMode="External"/><Relationship Id="rId2" Type="http://schemas.openxmlformats.org/officeDocument/2006/relationships/hyperlink" Target="about:blank" TargetMode="External"/><Relationship Id="rId1" Type="http://schemas.openxmlformats.org/officeDocument/2006/relationships/hyperlink" Target="about:blank" TargetMode="External"/><Relationship Id="rId6" Type="http://schemas.openxmlformats.org/officeDocument/2006/relationships/hyperlink" Target="about:blank" TargetMode="External"/><Relationship Id="rId5" Type="http://schemas.openxmlformats.org/officeDocument/2006/relationships/hyperlink" Target="about:blank" TargetMode="External"/><Relationship Id="rId4" Type="http://schemas.openxmlformats.org/officeDocument/2006/relationships/hyperlink" Target="about:bla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runo\Downloads\SP-LUC_Emissions-calculations_Jan4-2021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about:blank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about:blank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runo\Downloads\SP-LUC_Emissions-calculations_Jan4-202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runo\Downloads\SP-LUC_Emissions-calculations_Jan4-2021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runo\Downloads\SP-LUC_Emissions-calculations_Jan4-2021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runo\Downloads\SP-LUC_Emissions-calculations_Jan4-2021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runo\Downloads\SP-LUC_Emissions-calculations_Jan4-2021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runo\Downloads\SP-LUC_Emissions-calculations_Jan4-2021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runo\Downloads\SP-LUC_Emissions-calculations_Jan4-2021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runo\Downloads\SP-LUC_Emissions-calculations_Jan4-202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areaChart>
        <c:grouping val="stacked"/>
        <c:varyColors val="0"/>
        <c:ser>
          <c:idx val="0"/>
          <c:order val="0"/>
          <c:tx>
            <c:strRef>
              <c:f>Resumo!$B$15</c:f>
              <c:strCache>
                <c:ptCount val="1"/>
                <c:pt idx="0">
                  <c:v>Transição para Agricultura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numRef>
              <c:f>Resumo!$D$14:$V$14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Resumo!$D$15:$V$15</c:f>
              <c:numCache>
                <c:formatCode>_(* #,##0.00_);_(* \(#,##0.00\);_(* "-"??_);_(@_)</c:formatCode>
                <c:ptCount val="9"/>
                <c:pt idx="0">
                  <c:v>240583.24977279024</c:v>
                </c:pt>
                <c:pt idx="1">
                  <c:v>341896.02751610172</c:v>
                </c:pt>
                <c:pt idx="2">
                  <c:v>350530.42868930951</c:v>
                </c:pt>
                <c:pt idx="3">
                  <c:v>397366.50027757371</c:v>
                </c:pt>
                <c:pt idx="4">
                  <c:v>241628.09862036502</c:v>
                </c:pt>
                <c:pt idx="5">
                  <c:v>185989.68881772645</c:v>
                </c:pt>
                <c:pt idx="6">
                  <c:v>220930.60950604125</c:v>
                </c:pt>
                <c:pt idx="7">
                  <c:v>126623.94476542345</c:v>
                </c:pt>
                <c:pt idx="8">
                  <c:v>175279.77946079988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C4A-421E-86B1-66A27E1F7FFE}"/>
            </c:ext>
          </c:extLst>
        </c:ser>
        <c:ser>
          <c:idx val="1"/>
          <c:order val="1"/>
          <c:tx>
            <c:strRef>
              <c:f>Resumo!$B$16</c:f>
              <c:strCache>
                <c:ptCount val="1"/>
                <c:pt idx="0">
                  <c:v>Transição para Formação Campestre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numRef>
              <c:f>Resumo!$D$14:$V$14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Resumo!$D$16:$V$16</c:f>
              <c:numCache>
                <c:formatCode>_(* #,##0.00_);_(* \(#,##0.00\);_(* "-"??_);_(@_)</c:formatCode>
                <c:ptCount val="9"/>
                <c:pt idx="0">
                  <c:v>23845.473959049228</c:v>
                </c:pt>
                <c:pt idx="1">
                  <c:v>23120.556860376422</c:v>
                </c:pt>
                <c:pt idx="2">
                  <c:v>26460.183577129188</c:v>
                </c:pt>
                <c:pt idx="3">
                  <c:v>19554.732637877718</c:v>
                </c:pt>
                <c:pt idx="4">
                  <c:v>20544.826664873315</c:v>
                </c:pt>
                <c:pt idx="5">
                  <c:v>15732.495597057436</c:v>
                </c:pt>
                <c:pt idx="6">
                  <c:v>16415.76230629587</c:v>
                </c:pt>
                <c:pt idx="7">
                  <c:v>15279.098972994028</c:v>
                </c:pt>
                <c:pt idx="8">
                  <c:v>21510.047313008301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C4A-421E-86B1-66A27E1F7FFE}"/>
            </c:ext>
          </c:extLst>
        </c:ser>
        <c:ser>
          <c:idx val="2"/>
          <c:order val="2"/>
          <c:tx>
            <c:strRef>
              <c:f>Resumo!$B$17</c:f>
              <c:strCache>
                <c:ptCount val="1"/>
                <c:pt idx="0">
                  <c:v>Transição para Área Edificada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cat>
            <c:numRef>
              <c:f>Resumo!$D$14:$V$14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Resumo!$N$17:$V$17</c:f>
              <c:numCache>
                <c:formatCode>_(* #,##0.00_);_(* \(#,##0.00\);_(* "-"??_);_(@_)</c:formatCode>
                <c:ptCount val="9"/>
                <c:pt idx="0">
                  <c:v>3341.2960710387329</c:v>
                </c:pt>
                <c:pt idx="1">
                  <c:v>3726.4161048068781</c:v>
                </c:pt>
                <c:pt idx="2">
                  <c:v>6841.1807992425038</c:v>
                </c:pt>
                <c:pt idx="3">
                  <c:v>5062.7342107080622</c:v>
                </c:pt>
                <c:pt idx="4">
                  <c:v>4696.0605417996358</c:v>
                </c:pt>
                <c:pt idx="5">
                  <c:v>3835.0910688220779</c:v>
                </c:pt>
                <c:pt idx="6">
                  <c:v>43.403211434641676</c:v>
                </c:pt>
                <c:pt idx="7">
                  <c:v>8512.0375040476101</c:v>
                </c:pt>
                <c:pt idx="8">
                  <c:v>2585.3289826472896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C4A-421E-86B1-66A27E1F7FFE}"/>
            </c:ext>
          </c:extLst>
        </c:ser>
        <c:ser>
          <c:idx val="3"/>
          <c:order val="3"/>
          <c:tx>
            <c:strRef>
              <c:f>Resumo!$B$18</c:f>
              <c:strCache>
                <c:ptCount val="1"/>
                <c:pt idx="0">
                  <c:v>Transição para Hidrografia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cat>
            <c:numRef>
              <c:f>Resumo!$D$14:$V$14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Resumo!$D$18:$V$18</c:f>
              <c:numCache>
                <c:formatCode>_(* #,##0.00_);_(* \(#,##0.00\);_(* "-"??_);_(@_)</c:formatCode>
                <c:ptCount val="9"/>
                <c:pt idx="0">
                  <c:v>1499.0801487810854</c:v>
                </c:pt>
                <c:pt idx="1">
                  <c:v>1634.8821199429358</c:v>
                </c:pt>
                <c:pt idx="2">
                  <c:v>1551.2474702169532</c:v>
                </c:pt>
                <c:pt idx="3">
                  <c:v>1254.686681318334</c:v>
                </c:pt>
                <c:pt idx="4">
                  <c:v>1127.3149493005199</c:v>
                </c:pt>
                <c:pt idx="5">
                  <c:v>4647.732735221447</c:v>
                </c:pt>
                <c:pt idx="6">
                  <c:v>1508.9293390681773</c:v>
                </c:pt>
                <c:pt idx="7">
                  <c:v>969.14363070697038</c:v>
                </c:pt>
                <c:pt idx="8">
                  <c:v>992.01378442445457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7C4A-421E-86B1-66A27E1F7FFE}"/>
            </c:ext>
          </c:extLst>
        </c:ser>
        <c:ser>
          <c:idx val="4"/>
          <c:order val="4"/>
          <c:tx>
            <c:strRef>
              <c:f>Resumo!$B$21</c:f>
              <c:strCache>
                <c:ptCount val="1"/>
                <c:pt idx="0">
                  <c:v>Transição para Floresta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cat>
            <c:numRef>
              <c:f>Resumo!$D$14:$V$14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Resumo!$D$21:$V$21</c:f>
              <c:numCache>
                <c:formatCode>_(* #,##0.00_);_(* \(#,##0.00\);_(* "-"??_);_(@_)</c:formatCode>
                <c:ptCount val="9"/>
                <c:pt idx="0">
                  <c:v>28959.290410906528</c:v>
                </c:pt>
                <c:pt idx="1">
                  <c:v>24334.010490832046</c:v>
                </c:pt>
                <c:pt idx="2">
                  <c:v>24331.089120831628</c:v>
                </c:pt>
                <c:pt idx="3">
                  <c:v>25122.613455512965</c:v>
                </c:pt>
                <c:pt idx="4">
                  <c:v>35912.735285878996</c:v>
                </c:pt>
                <c:pt idx="5">
                  <c:v>25015.858248927383</c:v>
                </c:pt>
                <c:pt idx="6">
                  <c:v>21256.722800115909</c:v>
                </c:pt>
                <c:pt idx="7">
                  <c:v>16980.254458089235</c:v>
                </c:pt>
                <c:pt idx="8">
                  <c:v>6978.9859955475067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7C4A-421E-86B1-66A27E1F7FF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-2026360872"/>
        <c:axId val="-2026369496"/>
      </c:areaChart>
      <c:catAx>
        <c:axId val="-20263608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26369496"/>
        <c:crosses val="autoZero"/>
        <c:auto val="1"/>
        <c:lblAlgn val="ctr"/>
        <c:lblOffset val="100"/>
        <c:noMultiLvlLbl val="0"/>
      </c:catAx>
      <c:valAx>
        <c:axId val="-2026369496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ha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_(* #,##0_);_(* \(#,##0\);_(* &quot;-&quot;_);_(@_)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2636087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areaChart>
        <c:grouping val="standard"/>
        <c:varyColors val="0"/>
        <c:ser>
          <c:idx val="0"/>
          <c:order val="0"/>
          <c:tx>
            <c:strRef>
              <c:f>'Projecoes-linha de base'!$B$32</c:f>
              <c:strCache>
                <c:ptCount val="1"/>
                <c:pt idx="0">
                  <c:v>Emissões totais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numRef>
              <c:f>'Projecoes-linha de base'!$C$31:$AP$31</c:f>
              <c:numCache>
                <c:formatCode>General</c:formatCode>
                <c:ptCount val="40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  <c:pt idx="12">
                  <c:v>2023</c:v>
                </c:pt>
                <c:pt idx="13">
                  <c:v>2024</c:v>
                </c:pt>
                <c:pt idx="14">
                  <c:v>2025</c:v>
                </c:pt>
                <c:pt idx="15">
                  <c:v>2026</c:v>
                </c:pt>
                <c:pt idx="16">
                  <c:v>2027</c:v>
                </c:pt>
                <c:pt idx="17">
                  <c:v>2028</c:v>
                </c:pt>
                <c:pt idx="18">
                  <c:v>2029</c:v>
                </c:pt>
                <c:pt idx="19">
                  <c:v>2030</c:v>
                </c:pt>
                <c:pt idx="20">
                  <c:v>2031</c:v>
                </c:pt>
                <c:pt idx="21">
                  <c:v>2032</c:v>
                </c:pt>
                <c:pt idx="22">
                  <c:v>2033</c:v>
                </c:pt>
                <c:pt idx="23">
                  <c:v>2034</c:v>
                </c:pt>
                <c:pt idx="24">
                  <c:v>2035</c:v>
                </c:pt>
                <c:pt idx="25">
                  <c:v>2036</c:v>
                </c:pt>
                <c:pt idx="26">
                  <c:v>2037</c:v>
                </c:pt>
                <c:pt idx="27">
                  <c:v>2038</c:v>
                </c:pt>
                <c:pt idx="28">
                  <c:v>2039</c:v>
                </c:pt>
                <c:pt idx="29">
                  <c:v>2040</c:v>
                </c:pt>
                <c:pt idx="30">
                  <c:v>2041</c:v>
                </c:pt>
                <c:pt idx="31">
                  <c:v>2042</c:v>
                </c:pt>
                <c:pt idx="32">
                  <c:v>2043</c:v>
                </c:pt>
                <c:pt idx="33">
                  <c:v>2044</c:v>
                </c:pt>
                <c:pt idx="34">
                  <c:v>2045</c:v>
                </c:pt>
                <c:pt idx="35">
                  <c:v>2046</c:v>
                </c:pt>
                <c:pt idx="36">
                  <c:v>2047</c:v>
                </c:pt>
                <c:pt idx="37">
                  <c:v>2048</c:v>
                </c:pt>
                <c:pt idx="38">
                  <c:v>2049</c:v>
                </c:pt>
                <c:pt idx="39">
                  <c:v>2050</c:v>
                </c:pt>
              </c:numCache>
            </c:numRef>
          </c:cat>
          <c:val>
            <c:numRef>
              <c:f>'Projecoes-linha de base'!$C$32:$AP$32</c:f>
              <c:numCache>
                <c:formatCode>_(* #,##0.00_);_(* \(#,##0.00\);_(* "-"??_);_(@_)</c:formatCode>
                <c:ptCount val="40"/>
                <c:pt idx="0">
                  <c:v>11013414.561011454</c:v>
                </c:pt>
                <c:pt idx="1">
                  <c:v>17649747.948341887</c:v>
                </c:pt>
                <c:pt idx="2">
                  <c:v>17436002.531667128</c:v>
                </c:pt>
                <c:pt idx="3">
                  <c:v>15769840.936089151</c:v>
                </c:pt>
                <c:pt idx="4">
                  <c:v>12937631.614016481</c:v>
                </c:pt>
                <c:pt idx="5">
                  <c:v>13542666.128660366</c:v>
                </c:pt>
                <c:pt idx="6">
                  <c:v>14335277.119560054</c:v>
                </c:pt>
                <c:pt idx="7">
                  <c:v>8536665.2078985143</c:v>
                </c:pt>
                <c:pt idx="8">
                  <c:v>13902655.755905628</c:v>
                </c:pt>
                <c:pt idx="9">
                  <c:v>13902655.755905628</c:v>
                </c:pt>
                <c:pt idx="10">
                  <c:v>13902655.755905628</c:v>
                </c:pt>
                <c:pt idx="11">
                  <c:v>13902655.755905628</c:v>
                </c:pt>
                <c:pt idx="12">
                  <c:v>13902655.755905628</c:v>
                </c:pt>
                <c:pt idx="13">
                  <c:v>13902655.755905628</c:v>
                </c:pt>
                <c:pt idx="14">
                  <c:v>13902655.755905628</c:v>
                </c:pt>
                <c:pt idx="15">
                  <c:v>13902655.755905628</c:v>
                </c:pt>
                <c:pt idx="16">
                  <c:v>13902655.755905628</c:v>
                </c:pt>
                <c:pt idx="17">
                  <c:v>13902655.755905628</c:v>
                </c:pt>
                <c:pt idx="18">
                  <c:v>13902655.755905628</c:v>
                </c:pt>
                <c:pt idx="19">
                  <c:v>13902655.755905628</c:v>
                </c:pt>
                <c:pt idx="20">
                  <c:v>13902655.755905628</c:v>
                </c:pt>
                <c:pt idx="21">
                  <c:v>13902655.755905628</c:v>
                </c:pt>
                <c:pt idx="22">
                  <c:v>13902655.755905628</c:v>
                </c:pt>
                <c:pt idx="23">
                  <c:v>13902655.755905628</c:v>
                </c:pt>
                <c:pt idx="24">
                  <c:v>13902655.755905628</c:v>
                </c:pt>
                <c:pt idx="25">
                  <c:v>13902655.755905628</c:v>
                </c:pt>
                <c:pt idx="26">
                  <c:v>13902655.755905628</c:v>
                </c:pt>
                <c:pt idx="27">
                  <c:v>13902655.755905628</c:v>
                </c:pt>
                <c:pt idx="28">
                  <c:v>13902655.755905628</c:v>
                </c:pt>
                <c:pt idx="29">
                  <c:v>13902655.755905628</c:v>
                </c:pt>
                <c:pt idx="30">
                  <c:v>13902655.755905628</c:v>
                </c:pt>
                <c:pt idx="31">
                  <c:v>13902655.755905628</c:v>
                </c:pt>
                <c:pt idx="32">
                  <c:v>13902655.755905628</c:v>
                </c:pt>
                <c:pt idx="33">
                  <c:v>13902655.755905628</c:v>
                </c:pt>
                <c:pt idx="34">
                  <c:v>13902655.755905628</c:v>
                </c:pt>
                <c:pt idx="35">
                  <c:v>13902655.755905628</c:v>
                </c:pt>
                <c:pt idx="36">
                  <c:v>13902655.755905628</c:v>
                </c:pt>
                <c:pt idx="37">
                  <c:v>13902655.755905628</c:v>
                </c:pt>
                <c:pt idx="38">
                  <c:v>13902655.755905628</c:v>
                </c:pt>
                <c:pt idx="39">
                  <c:v>13902655.755905628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B9D-4478-9A29-2CDB754ED08F}"/>
            </c:ext>
          </c:extLst>
        </c:ser>
        <c:ser>
          <c:idx val="1"/>
          <c:order val="1"/>
          <c:tx>
            <c:strRef>
              <c:f>'Projecoes-linha de base'!$B$33</c:f>
              <c:strCache>
                <c:ptCount val="1"/>
                <c:pt idx="0">
                  <c:v>Remoções totais </c:v>
                </c:pt>
              </c:strCache>
            </c:strRef>
          </c:tx>
          <c:spPr>
            <a:solidFill>
              <a:schemeClr val="accent2"/>
            </a:solidFill>
            <a:ln w="25400">
              <a:noFill/>
            </a:ln>
            <a:effectLst/>
          </c:spPr>
          <c:cat>
            <c:numRef>
              <c:f>'Projecoes-linha de base'!$C$31:$AP$31</c:f>
              <c:numCache>
                <c:formatCode>General</c:formatCode>
                <c:ptCount val="40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  <c:pt idx="12">
                  <c:v>2023</c:v>
                </c:pt>
                <c:pt idx="13">
                  <c:v>2024</c:v>
                </c:pt>
                <c:pt idx="14">
                  <c:v>2025</c:v>
                </c:pt>
                <c:pt idx="15">
                  <c:v>2026</c:v>
                </c:pt>
                <c:pt idx="16">
                  <c:v>2027</c:v>
                </c:pt>
                <c:pt idx="17">
                  <c:v>2028</c:v>
                </c:pt>
                <c:pt idx="18">
                  <c:v>2029</c:v>
                </c:pt>
                <c:pt idx="19">
                  <c:v>2030</c:v>
                </c:pt>
                <c:pt idx="20">
                  <c:v>2031</c:v>
                </c:pt>
                <c:pt idx="21">
                  <c:v>2032</c:v>
                </c:pt>
                <c:pt idx="22">
                  <c:v>2033</c:v>
                </c:pt>
                <c:pt idx="23">
                  <c:v>2034</c:v>
                </c:pt>
                <c:pt idx="24">
                  <c:v>2035</c:v>
                </c:pt>
                <c:pt idx="25">
                  <c:v>2036</c:v>
                </c:pt>
                <c:pt idx="26">
                  <c:v>2037</c:v>
                </c:pt>
                <c:pt idx="27">
                  <c:v>2038</c:v>
                </c:pt>
                <c:pt idx="28">
                  <c:v>2039</c:v>
                </c:pt>
                <c:pt idx="29">
                  <c:v>2040</c:v>
                </c:pt>
                <c:pt idx="30">
                  <c:v>2041</c:v>
                </c:pt>
                <c:pt idx="31">
                  <c:v>2042</c:v>
                </c:pt>
                <c:pt idx="32">
                  <c:v>2043</c:v>
                </c:pt>
                <c:pt idx="33">
                  <c:v>2044</c:v>
                </c:pt>
                <c:pt idx="34">
                  <c:v>2045</c:v>
                </c:pt>
                <c:pt idx="35">
                  <c:v>2046</c:v>
                </c:pt>
                <c:pt idx="36">
                  <c:v>2047</c:v>
                </c:pt>
                <c:pt idx="37">
                  <c:v>2048</c:v>
                </c:pt>
                <c:pt idx="38">
                  <c:v>2049</c:v>
                </c:pt>
                <c:pt idx="39">
                  <c:v>2050</c:v>
                </c:pt>
              </c:numCache>
            </c:numRef>
          </c:cat>
          <c:val>
            <c:numRef>
              <c:f>'Projecoes-linha de base'!$C$33:$AP$33</c:f>
              <c:numCache>
                <c:formatCode>_(* #,##0.00_);_(* \(#,##0.00\);_(* "-"??_);_(@_)</c:formatCode>
                <c:ptCount val="40"/>
                <c:pt idx="0">
                  <c:v>-12893699.111283716</c:v>
                </c:pt>
                <c:pt idx="1">
                  <c:v>-12893699.111283716</c:v>
                </c:pt>
                <c:pt idx="2">
                  <c:v>-12893699.111283716</c:v>
                </c:pt>
                <c:pt idx="3">
                  <c:v>-12893699.111283716</c:v>
                </c:pt>
                <c:pt idx="4">
                  <c:v>-12893699.111283716</c:v>
                </c:pt>
                <c:pt idx="5">
                  <c:v>-12893699.111283716</c:v>
                </c:pt>
                <c:pt idx="6">
                  <c:v>-12893699.111283716</c:v>
                </c:pt>
                <c:pt idx="7">
                  <c:v>-12893699.111283716</c:v>
                </c:pt>
                <c:pt idx="8">
                  <c:v>-12893699.111283718</c:v>
                </c:pt>
                <c:pt idx="9">
                  <c:v>-12893699.111283718</c:v>
                </c:pt>
                <c:pt idx="10">
                  <c:v>-12893699.111283718</c:v>
                </c:pt>
                <c:pt idx="11">
                  <c:v>-12893699.111283718</c:v>
                </c:pt>
                <c:pt idx="12">
                  <c:v>-12893699.111283718</c:v>
                </c:pt>
                <c:pt idx="13">
                  <c:v>-12893699.111283718</c:v>
                </c:pt>
                <c:pt idx="14">
                  <c:v>-12893699.111283718</c:v>
                </c:pt>
                <c:pt idx="15">
                  <c:v>-12893699.111283718</c:v>
                </c:pt>
                <c:pt idx="16">
                  <c:v>-12893699.111283718</c:v>
                </c:pt>
                <c:pt idx="17">
                  <c:v>-12893699.111283718</c:v>
                </c:pt>
                <c:pt idx="18">
                  <c:v>-12893699.111283718</c:v>
                </c:pt>
                <c:pt idx="19">
                  <c:v>-12893699.111283718</c:v>
                </c:pt>
                <c:pt idx="20">
                  <c:v>-12893699.111283718</c:v>
                </c:pt>
                <c:pt idx="21">
                  <c:v>-12893699.111283718</c:v>
                </c:pt>
                <c:pt idx="22">
                  <c:v>-12893699.111283718</c:v>
                </c:pt>
                <c:pt idx="23">
                  <c:v>-12893699.111283718</c:v>
                </c:pt>
                <c:pt idx="24">
                  <c:v>-12893699.111283718</c:v>
                </c:pt>
                <c:pt idx="25">
                  <c:v>-12893699.111283718</c:v>
                </c:pt>
                <c:pt idx="26">
                  <c:v>-12893699.111283718</c:v>
                </c:pt>
                <c:pt idx="27">
                  <c:v>-12893699.111283718</c:v>
                </c:pt>
                <c:pt idx="28">
                  <c:v>-12893699.111283718</c:v>
                </c:pt>
                <c:pt idx="29">
                  <c:v>-12893699.111283718</c:v>
                </c:pt>
                <c:pt idx="30">
                  <c:v>-12893699.111283718</c:v>
                </c:pt>
                <c:pt idx="31">
                  <c:v>-12893699.111283718</c:v>
                </c:pt>
                <c:pt idx="32">
                  <c:v>-12893699.111283718</c:v>
                </c:pt>
                <c:pt idx="33">
                  <c:v>-12893699.111283718</c:v>
                </c:pt>
                <c:pt idx="34">
                  <c:v>-12893699.111283718</c:v>
                </c:pt>
                <c:pt idx="35">
                  <c:v>-12893699.111283718</c:v>
                </c:pt>
                <c:pt idx="36">
                  <c:v>-12893699.111283718</c:v>
                </c:pt>
                <c:pt idx="37">
                  <c:v>-12893699.111283718</c:v>
                </c:pt>
                <c:pt idx="38">
                  <c:v>-12893699.111283718</c:v>
                </c:pt>
                <c:pt idx="39">
                  <c:v>-12893699.111283718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B9D-4478-9A29-2CDB754ED08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137754648"/>
        <c:axId val="2137984504"/>
      </c:areaChart>
      <c:catAx>
        <c:axId val="21377546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>
              <a:alpha val="25000"/>
            </a:schemeClr>
          </a:solidFill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54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37984504"/>
        <c:crosses val="autoZero"/>
        <c:auto val="1"/>
        <c:lblAlgn val="ctr"/>
        <c:lblOffset val="100"/>
        <c:noMultiLvlLbl val="0"/>
      </c:catAx>
      <c:valAx>
        <c:axId val="2137984504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tCO2e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_(* #,##0_);_(* \(#,##0\);_(* &quot;-&quot;_);_(@_)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37754648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zero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3906158316555813E-2"/>
          <c:y val="6.9598228408731408E-2"/>
          <c:w val="0.8748609486063238"/>
          <c:h val="0.71936968106259447"/>
        </c:manualLayout>
      </c:layout>
      <c:barChart>
        <c:barDir val="col"/>
        <c:grouping val="stacked"/>
        <c:varyColors val="0"/>
        <c:ser>
          <c:idx val="1"/>
          <c:order val="0"/>
          <c:tx>
            <c:strRef>
              <c:f>'Projecoes-linha de base'!$B$8</c:f>
              <c:strCache>
                <c:ptCount val="1"/>
                <c:pt idx="0">
                  <c:v>Transição para Formação Campestre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'Projecoes-linha de base'!$C$6:$AP$6</c:f>
              <c:numCache>
                <c:formatCode>General</c:formatCode>
                <c:ptCount val="40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  <c:pt idx="12">
                  <c:v>2023</c:v>
                </c:pt>
                <c:pt idx="13">
                  <c:v>2024</c:v>
                </c:pt>
                <c:pt idx="14">
                  <c:v>2025</c:v>
                </c:pt>
                <c:pt idx="15">
                  <c:v>2026</c:v>
                </c:pt>
                <c:pt idx="16">
                  <c:v>2027</c:v>
                </c:pt>
                <c:pt idx="17">
                  <c:v>2028</c:v>
                </c:pt>
                <c:pt idx="18">
                  <c:v>2029</c:v>
                </c:pt>
                <c:pt idx="19">
                  <c:v>2030</c:v>
                </c:pt>
                <c:pt idx="20">
                  <c:v>2031</c:v>
                </c:pt>
                <c:pt idx="21">
                  <c:v>2032</c:v>
                </c:pt>
                <c:pt idx="22">
                  <c:v>2033</c:v>
                </c:pt>
                <c:pt idx="23">
                  <c:v>2034</c:v>
                </c:pt>
                <c:pt idx="24">
                  <c:v>2035</c:v>
                </c:pt>
                <c:pt idx="25">
                  <c:v>2036</c:v>
                </c:pt>
                <c:pt idx="26">
                  <c:v>2037</c:v>
                </c:pt>
                <c:pt idx="27">
                  <c:v>2038</c:v>
                </c:pt>
                <c:pt idx="28">
                  <c:v>2039</c:v>
                </c:pt>
                <c:pt idx="29">
                  <c:v>2040</c:v>
                </c:pt>
                <c:pt idx="30">
                  <c:v>2041</c:v>
                </c:pt>
                <c:pt idx="31">
                  <c:v>2042</c:v>
                </c:pt>
                <c:pt idx="32">
                  <c:v>2043</c:v>
                </c:pt>
                <c:pt idx="33">
                  <c:v>2044</c:v>
                </c:pt>
                <c:pt idx="34">
                  <c:v>2045</c:v>
                </c:pt>
                <c:pt idx="35">
                  <c:v>2046</c:v>
                </c:pt>
                <c:pt idx="36">
                  <c:v>2047</c:v>
                </c:pt>
                <c:pt idx="37">
                  <c:v>2048</c:v>
                </c:pt>
                <c:pt idx="38">
                  <c:v>2049</c:v>
                </c:pt>
                <c:pt idx="39">
                  <c:v>2050</c:v>
                </c:pt>
              </c:numCache>
            </c:numRef>
          </c:cat>
          <c:val>
            <c:numRef>
              <c:f>'Projecoes-linha de base'!$C$8:$AP$8</c:f>
              <c:numCache>
                <c:formatCode>_(* #,##0.00_);_(* \(#,##0.00\);_(* "-"??_);_(@_)</c:formatCode>
                <c:ptCount val="40"/>
                <c:pt idx="0">
                  <c:v>6419311.0532317357</c:v>
                </c:pt>
                <c:pt idx="1">
                  <c:v>7472911.2627836708</c:v>
                </c:pt>
                <c:pt idx="2">
                  <c:v>8777083.959951913</c:v>
                </c:pt>
                <c:pt idx="3">
                  <c:v>6108159.6770414133</c:v>
                </c:pt>
                <c:pt idx="4">
                  <c:v>5708563.1833348898</c:v>
                </c:pt>
                <c:pt idx="5">
                  <c:v>5196138.660808932</c:v>
                </c:pt>
                <c:pt idx="6">
                  <c:v>5338202.9452520367</c:v>
                </c:pt>
                <c:pt idx="7">
                  <c:v>4995631.4967136029</c:v>
                </c:pt>
                <c:pt idx="8">
                  <c:v>7325696.415227484</c:v>
                </c:pt>
                <c:pt idx="9">
                  <c:v>6371299.8504828531</c:v>
                </c:pt>
                <c:pt idx="10">
                  <c:v>6371299.8504828531</c:v>
                </c:pt>
                <c:pt idx="11">
                  <c:v>6371299.8504828531</c:v>
                </c:pt>
                <c:pt idx="12">
                  <c:v>6371299.8504828531</c:v>
                </c:pt>
                <c:pt idx="13">
                  <c:v>6371299.8504828531</c:v>
                </c:pt>
                <c:pt idx="14">
                  <c:v>6371299.8504828531</c:v>
                </c:pt>
                <c:pt idx="15">
                  <c:v>6371299.8504828531</c:v>
                </c:pt>
                <c:pt idx="16">
                  <c:v>6371299.8504828531</c:v>
                </c:pt>
                <c:pt idx="17">
                  <c:v>6371299.8504828531</c:v>
                </c:pt>
                <c:pt idx="18">
                  <c:v>6371299.8504828531</c:v>
                </c:pt>
                <c:pt idx="19">
                  <c:v>6371299.8504828531</c:v>
                </c:pt>
                <c:pt idx="20">
                  <c:v>6371299.8504828531</c:v>
                </c:pt>
                <c:pt idx="21">
                  <c:v>6371299.8504828531</c:v>
                </c:pt>
                <c:pt idx="22">
                  <c:v>6371299.8504828531</c:v>
                </c:pt>
                <c:pt idx="23">
                  <c:v>6371299.8504828531</c:v>
                </c:pt>
                <c:pt idx="24">
                  <c:v>6371299.8504828531</c:v>
                </c:pt>
                <c:pt idx="25">
                  <c:v>6371299.8504828531</c:v>
                </c:pt>
                <c:pt idx="26">
                  <c:v>6371299.8504828531</c:v>
                </c:pt>
                <c:pt idx="27">
                  <c:v>6371299.8504828531</c:v>
                </c:pt>
                <c:pt idx="28">
                  <c:v>6371299.8504828531</c:v>
                </c:pt>
                <c:pt idx="29">
                  <c:v>6371299.8504828531</c:v>
                </c:pt>
                <c:pt idx="30">
                  <c:v>6371299.8504828531</c:v>
                </c:pt>
                <c:pt idx="31">
                  <c:v>6371299.8504828531</c:v>
                </c:pt>
                <c:pt idx="32">
                  <c:v>6371299.8504828531</c:v>
                </c:pt>
                <c:pt idx="33">
                  <c:v>6371299.8504828531</c:v>
                </c:pt>
                <c:pt idx="34">
                  <c:v>6371299.8504828531</c:v>
                </c:pt>
                <c:pt idx="35">
                  <c:v>6371299.8504828531</c:v>
                </c:pt>
                <c:pt idx="36">
                  <c:v>6371299.8504828531</c:v>
                </c:pt>
                <c:pt idx="37">
                  <c:v>6371299.8504828531</c:v>
                </c:pt>
                <c:pt idx="38">
                  <c:v>6371299.8504828531</c:v>
                </c:pt>
                <c:pt idx="39">
                  <c:v>6371299.8504828531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5BC-4787-8E82-B66DE967AD34}"/>
            </c:ext>
          </c:extLst>
        </c:ser>
        <c:ser>
          <c:idx val="0"/>
          <c:order val="1"/>
          <c:tx>
            <c:strRef>
              <c:f>'Projecoes-linha de base'!$B$7</c:f>
              <c:strCache>
                <c:ptCount val="1"/>
                <c:pt idx="0">
                  <c:v>Transição para Agricultura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'Projecoes-linha de base'!$C$6:$AP$6</c:f>
              <c:numCache>
                <c:formatCode>General</c:formatCode>
                <c:ptCount val="40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  <c:pt idx="12">
                  <c:v>2023</c:v>
                </c:pt>
                <c:pt idx="13">
                  <c:v>2024</c:v>
                </c:pt>
                <c:pt idx="14">
                  <c:v>2025</c:v>
                </c:pt>
                <c:pt idx="15">
                  <c:v>2026</c:v>
                </c:pt>
                <c:pt idx="16">
                  <c:v>2027</c:v>
                </c:pt>
                <c:pt idx="17">
                  <c:v>2028</c:v>
                </c:pt>
                <c:pt idx="18">
                  <c:v>2029</c:v>
                </c:pt>
                <c:pt idx="19">
                  <c:v>2030</c:v>
                </c:pt>
                <c:pt idx="20">
                  <c:v>2031</c:v>
                </c:pt>
                <c:pt idx="21">
                  <c:v>2032</c:v>
                </c:pt>
                <c:pt idx="22">
                  <c:v>2033</c:v>
                </c:pt>
                <c:pt idx="23">
                  <c:v>2034</c:v>
                </c:pt>
                <c:pt idx="24">
                  <c:v>2035</c:v>
                </c:pt>
                <c:pt idx="25">
                  <c:v>2036</c:v>
                </c:pt>
                <c:pt idx="26">
                  <c:v>2037</c:v>
                </c:pt>
                <c:pt idx="27">
                  <c:v>2038</c:v>
                </c:pt>
                <c:pt idx="28">
                  <c:v>2039</c:v>
                </c:pt>
                <c:pt idx="29">
                  <c:v>2040</c:v>
                </c:pt>
                <c:pt idx="30">
                  <c:v>2041</c:v>
                </c:pt>
                <c:pt idx="31">
                  <c:v>2042</c:v>
                </c:pt>
                <c:pt idx="32">
                  <c:v>2043</c:v>
                </c:pt>
                <c:pt idx="33">
                  <c:v>2044</c:v>
                </c:pt>
                <c:pt idx="34">
                  <c:v>2045</c:v>
                </c:pt>
                <c:pt idx="35">
                  <c:v>2046</c:v>
                </c:pt>
                <c:pt idx="36">
                  <c:v>2047</c:v>
                </c:pt>
                <c:pt idx="37">
                  <c:v>2048</c:v>
                </c:pt>
                <c:pt idx="38">
                  <c:v>2049</c:v>
                </c:pt>
                <c:pt idx="39">
                  <c:v>2050</c:v>
                </c:pt>
              </c:numCache>
            </c:numRef>
          </c:cat>
          <c:val>
            <c:numRef>
              <c:f>'Projecoes-linha de base'!$C$7:$AP$7</c:f>
              <c:numCache>
                <c:formatCode>_(* #,##0.00_);_(* \(#,##0.00\);_(* "-"??_);_(@_)</c:formatCode>
                <c:ptCount val="40"/>
                <c:pt idx="0">
                  <c:v>1429807.559813607</c:v>
                </c:pt>
                <c:pt idx="1">
                  <c:v>4277880.5840348443</c:v>
                </c:pt>
                <c:pt idx="2">
                  <c:v>4829092.8384370562</c:v>
                </c:pt>
                <c:pt idx="3">
                  <c:v>4734388.5346184243</c:v>
                </c:pt>
                <c:pt idx="4">
                  <c:v>2777871.8535934947</c:v>
                </c:pt>
                <c:pt idx="5">
                  <c:v>3395624.8477810682</c:v>
                </c:pt>
                <c:pt idx="6">
                  <c:v>3529397.5848426679</c:v>
                </c:pt>
                <c:pt idx="7">
                  <c:v>984243.40931192215</c:v>
                </c:pt>
                <c:pt idx="8">
                  <c:v>2190367.6451781495</c:v>
                </c:pt>
                <c:pt idx="9">
                  <c:v>3127630.5397345815</c:v>
                </c:pt>
                <c:pt idx="10">
                  <c:v>3127630.5397345815</c:v>
                </c:pt>
                <c:pt idx="11">
                  <c:v>3127630.5397345815</c:v>
                </c:pt>
                <c:pt idx="12">
                  <c:v>3127630.5397345815</c:v>
                </c:pt>
                <c:pt idx="13">
                  <c:v>3127630.5397345815</c:v>
                </c:pt>
                <c:pt idx="14">
                  <c:v>3127630.5397345815</c:v>
                </c:pt>
                <c:pt idx="15">
                  <c:v>3127630.5397345815</c:v>
                </c:pt>
                <c:pt idx="16">
                  <c:v>3127630.5397345815</c:v>
                </c:pt>
                <c:pt idx="17">
                  <c:v>3127630.5397345815</c:v>
                </c:pt>
                <c:pt idx="18">
                  <c:v>3127630.5397345815</c:v>
                </c:pt>
                <c:pt idx="19">
                  <c:v>3127630.5397345815</c:v>
                </c:pt>
                <c:pt idx="20">
                  <c:v>3127630.5397345815</c:v>
                </c:pt>
                <c:pt idx="21">
                  <c:v>3127630.5397345815</c:v>
                </c:pt>
                <c:pt idx="22">
                  <c:v>3127630.5397345815</c:v>
                </c:pt>
                <c:pt idx="23">
                  <c:v>3127630.5397345815</c:v>
                </c:pt>
                <c:pt idx="24">
                  <c:v>3127630.5397345815</c:v>
                </c:pt>
                <c:pt idx="25">
                  <c:v>3127630.5397345815</c:v>
                </c:pt>
                <c:pt idx="26">
                  <c:v>3127630.5397345815</c:v>
                </c:pt>
                <c:pt idx="27">
                  <c:v>3127630.5397345815</c:v>
                </c:pt>
                <c:pt idx="28">
                  <c:v>3127630.5397345815</c:v>
                </c:pt>
                <c:pt idx="29">
                  <c:v>3127630.5397345815</c:v>
                </c:pt>
                <c:pt idx="30">
                  <c:v>3127630.5397345815</c:v>
                </c:pt>
                <c:pt idx="31">
                  <c:v>3127630.5397345815</c:v>
                </c:pt>
                <c:pt idx="32">
                  <c:v>3127630.5397345815</c:v>
                </c:pt>
                <c:pt idx="33">
                  <c:v>3127630.5397345815</c:v>
                </c:pt>
                <c:pt idx="34">
                  <c:v>3127630.5397345815</c:v>
                </c:pt>
                <c:pt idx="35">
                  <c:v>3127630.5397345815</c:v>
                </c:pt>
                <c:pt idx="36">
                  <c:v>3127630.5397345815</c:v>
                </c:pt>
                <c:pt idx="37">
                  <c:v>3127630.5397345815</c:v>
                </c:pt>
                <c:pt idx="38">
                  <c:v>3127630.5397345815</c:v>
                </c:pt>
                <c:pt idx="39">
                  <c:v>3127630.5397345815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5BC-4787-8E82-B66DE967AD34}"/>
            </c:ext>
          </c:extLst>
        </c:ser>
        <c:ser>
          <c:idx val="2"/>
          <c:order val="2"/>
          <c:tx>
            <c:strRef>
              <c:f>'Projecoes-linha de base'!$B$9</c:f>
              <c:strCache>
                <c:ptCount val="1"/>
                <c:pt idx="0">
                  <c:v>Transição para Área Edificada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numRef>
              <c:f>'Projecoes-linha de base'!$C$6:$AP$6</c:f>
              <c:numCache>
                <c:formatCode>General</c:formatCode>
                <c:ptCount val="40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  <c:pt idx="12">
                  <c:v>2023</c:v>
                </c:pt>
                <c:pt idx="13">
                  <c:v>2024</c:v>
                </c:pt>
                <c:pt idx="14">
                  <c:v>2025</c:v>
                </c:pt>
                <c:pt idx="15">
                  <c:v>2026</c:v>
                </c:pt>
                <c:pt idx="16">
                  <c:v>2027</c:v>
                </c:pt>
                <c:pt idx="17">
                  <c:v>2028</c:v>
                </c:pt>
                <c:pt idx="18">
                  <c:v>2029</c:v>
                </c:pt>
                <c:pt idx="19">
                  <c:v>2030</c:v>
                </c:pt>
                <c:pt idx="20">
                  <c:v>2031</c:v>
                </c:pt>
                <c:pt idx="21">
                  <c:v>2032</c:v>
                </c:pt>
                <c:pt idx="22">
                  <c:v>2033</c:v>
                </c:pt>
                <c:pt idx="23">
                  <c:v>2034</c:v>
                </c:pt>
                <c:pt idx="24">
                  <c:v>2035</c:v>
                </c:pt>
                <c:pt idx="25">
                  <c:v>2036</c:v>
                </c:pt>
                <c:pt idx="26">
                  <c:v>2037</c:v>
                </c:pt>
                <c:pt idx="27">
                  <c:v>2038</c:v>
                </c:pt>
                <c:pt idx="28">
                  <c:v>2039</c:v>
                </c:pt>
                <c:pt idx="29">
                  <c:v>2040</c:v>
                </c:pt>
                <c:pt idx="30">
                  <c:v>2041</c:v>
                </c:pt>
                <c:pt idx="31">
                  <c:v>2042</c:v>
                </c:pt>
                <c:pt idx="32">
                  <c:v>2043</c:v>
                </c:pt>
                <c:pt idx="33">
                  <c:v>2044</c:v>
                </c:pt>
                <c:pt idx="34">
                  <c:v>2045</c:v>
                </c:pt>
                <c:pt idx="35">
                  <c:v>2046</c:v>
                </c:pt>
                <c:pt idx="36">
                  <c:v>2047</c:v>
                </c:pt>
                <c:pt idx="37">
                  <c:v>2048</c:v>
                </c:pt>
                <c:pt idx="38">
                  <c:v>2049</c:v>
                </c:pt>
                <c:pt idx="39">
                  <c:v>2050</c:v>
                </c:pt>
              </c:numCache>
            </c:numRef>
          </c:cat>
          <c:val>
            <c:numRef>
              <c:f>'Projecoes-linha de base'!$C$9:$AP$9</c:f>
              <c:numCache>
                <c:formatCode>_(* #,##0.00_);_(* \(#,##0.00\);_(* "-"??_);_(@_)</c:formatCode>
                <c:ptCount val="40"/>
                <c:pt idx="0">
                  <c:v>76007.765074001654</c:v>
                </c:pt>
                <c:pt idx="1">
                  <c:v>146702.51507460448</c:v>
                </c:pt>
                <c:pt idx="2">
                  <c:v>179853.47716811666</c:v>
                </c:pt>
                <c:pt idx="3">
                  <c:v>146176.79298053816</c:v>
                </c:pt>
                <c:pt idx="4">
                  <c:v>131840.03142535302</c:v>
                </c:pt>
                <c:pt idx="5">
                  <c:v>78203.361596988703</c:v>
                </c:pt>
                <c:pt idx="6">
                  <c:v>959.44760367561412</c:v>
                </c:pt>
                <c:pt idx="7">
                  <c:v>159045.74695723219</c:v>
                </c:pt>
                <c:pt idx="8">
                  <c:v>43640.796162423452</c:v>
                </c:pt>
                <c:pt idx="9">
                  <c:v>106936.65933810378</c:v>
                </c:pt>
                <c:pt idx="10">
                  <c:v>106936.65933810378</c:v>
                </c:pt>
                <c:pt idx="11">
                  <c:v>106936.65933810378</c:v>
                </c:pt>
                <c:pt idx="12">
                  <c:v>106936.65933810378</c:v>
                </c:pt>
                <c:pt idx="13">
                  <c:v>106936.65933810378</c:v>
                </c:pt>
                <c:pt idx="14">
                  <c:v>106936.65933810378</c:v>
                </c:pt>
                <c:pt idx="15">
                  <c:v>106936.65933810378</c:v>
                </c:pt>
                <c:pt idx="16">
                  <c:v>106936.65933810378</c:v>
                </c:pt>
                <c:pt idx="17">
                  <c:v>106936.65933810378</c:v>
                </c:pt>
                <c:pt idx="18">
                  <c:v>106936.65933810378</c:v>
                </c:pt>
                <c:pt idx="19">
                  <c:v>106936.65933810378</c:v>
                </c:pt>
                <c:pt idx="20">
                  <c:v>106936.65933810378</c:v>
                </c:pt>
                <c:pt idx="21">
                  <c:v>106936.65933810378</c:v>
                </c:pt>
                <c:pt idx="22">
                  <c:v>106936.65933810378</c:v>
                </c:pt>
                <c:pt idx="23">
                  <c:v>106936.65933810378</c:v>
                </c:pt>
                <c:pt idx="24">
                  <c:v>106936.65933810378</c:v>
                </c:pt>
                <c:pt idx="25">
                  <c:v>106936.65933810378</c:v>
                </c:pt>
                <c:pt idx="26">
                  <c:v>106936.65933810378</c:v>
                </c:pt>
                <c:pt idx="27">
                  <c:v>106936.65933810378</c:v>
                </c:pt>
                <c:pt idx="28">
                  <c:v>106936.65933810378</c:v>
                </c:pt>
                <c:pt idx="29">
                  <c:v>106936.65933810378</c:v>
                </c:pt>
                <c:pt idx="30">
                  <c:v>106936.65933810378</c:v>
                </c:pt>
                <c:pt idx="31">
                  <c:v>106936.65933810378</c:v>
                </c:pt>
                <c:pt idx="32">
                  <c:v>106936.65933810378</c:v>
                </c:pt>
                <c:pt idx="33">
                  <c:v>106936.65933810378</c:v>
                </c:pt>
                <c:pt idx="34">
                  <c:v>106936.65933810378</c:v>
                </c:pt>
                <c:pt idx="35">
                  <c:v>106936.65933810378</c:v>
                </c:pt>
                <c:pt idx="36">
                  <c:v>106936.65933810378</c:v>
                </c:pt>
                <c:pt idx="37">
                  <c:v>106936.65933810378</c:v>
                </c:pt>
                <c:pt idx="38">
                  <c:v>106936.65933810378</c:v>
                </c:pt>
                <c:pt idx="39">
                  <c:v>106936.65933810378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5BC-4787-8E82-B66DE967AD34}"/>
            </c:ext>
          </c:extLst>
        </c:ser>
        <c:ser>
          <c:idx val="3"/>
          <c:order val="3"/>
          <c:tx>
            <c:strRef>
              <c:f>'Projecoes-linha de base'!$B$10</c:f>
              <c:strCache>
                <c:ptCount val="1"/>
                <c:pt idx="0">
                  <c:v>Transição para Hidrografia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numRef>
              <c:f>'Projecoes-linha de base'!$C$6:$AP$6</c:f>
              <c:numCache>
                <c:formatCode>General</c:formatCode>
                <c:ptCount val="40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  <c:pt idx="12">
                  <c:v>2023</c:v>
                </c:pt>
                <c:pt idx="13">
                  <c:v>2024</c:v>
                </c:pt>
                <c:pt idx="14">
                  <c:v>2025</c:v>
                </c:pt>
                <c:pt idx="15">
                  <c:v>2026</c:v>
                </c:pt>
                <c:pt idx="16">
                  <c:v>2027</c:v>
                </c:pt>
                <c:pt idx="17">
                  <c:v>2028</c:v>
                </c:pt>
                <c:pt idx="18">
                  <c:v>2029</c:v>
                </c:pt>
                <c:pt idx="19">
                  <c:v>2030</c:v>
                </c:pt>
                <c:pt idx="20">
                  <c:v>2031</c:v>
                </c:pt>
                <c:pt idx="21">
                  <c:v>2032</c:v>
                </c:pt>
                <c:pt idx="22">
                  <c:v>2033</c:v>
                </c:pt>
                <c:pt idx="23">
                  <c:v>2034</c:v>
                </c:pt>
                <c:pt idx="24">
                  <c:v>2035</c:v>
                </c:pt>
                <c:pt idx="25">
                  <c:v>2036</c:v>
                </c:pt>
                <c:pt idx="26">
                  <c:v>2037</c:v>
                </c:pt>
                <c:pt idx="27">
                  <c:v>2038</c:v>
                </c:pt>
                <c:pt idx="28">
                  <c:v>2039</c:v>
                </c:pt>
                <c:pt idx="29">
                  <c:v>2040</c:v>
                </c:pt>
                <c:pt idx="30">
                  <c:v>2041</c:v>
                </c:pt>
                <c:pt idx="31">
                  <c:v>2042</c:v>
                </c:pt>
                <c:pt idx="32">
                  <c:v>2043</c:v>
                </c:pt>
                <c:pt idx="33">
                  <c:v>2044</c:v>
                </c:pt>
                <c:pt idx="34">
                  <c:v>2045</c:v>
                </c:pt>
                <c:pt idx="35">
                  <c:v>2046</c:v>
                </c:pt>
                <c:pt idx="36">
                  <c:v>2047</c:v>
                </c:pt>
                <c:pt idx="37">
                  <c:v>2048</c:v>
                </c:pt>
                <c:pt idx="38">
                  <c:v>2049</c:v>
                </c:pt>
                <c:pt idx="39">
                  <c:v>2050</c:v>
                </c:pt>
              </c:numCache>
            </c:numRef>
          </c:cat>
          <c:val>
            <c:numRef>
              <c:f>'Projecoes-linha de base'!$C$10:$AP$10</c:f>
              <c:numCache>
                <c:formatCode>_(* #,##0.00_);_(* \(#,##0.00\);_(* "-"??_);_(@_)</c:formatCode>
                <c:ptCount val="40"/>
                <c:pt idx="0">
                  <c:v>107106.21892980812</c:v>
                </c:pt>
                <c:pt idx="1">
                  <c:v>246782.1683512328</c:v>
                </c:pt>
                <c:pt idx="2">
                  <c:v>150363.30246323941</c:v>
                </c:pt>
                <c:pt idx="3">
                  <c:v>94742.350211271798</c:v>
                </c:pt>
                <c:pt idx="4">
                  <c:v>61638.860797604902</c:v>
                </c:pt>
                <c:pt idx="5">
                  <c:v>258890.94582359056</c:v>
                </c:pt>
                <c:pt idx="6">
                  <c:v>203510.10069373084</c:v>
                </c:pt>
                <c:pt idx="7">
                  <c:v>115734.36892766631</c:v>
                </c:pt>
                <c:pt idx="8">
                  <c:v>155999.11737531616</c:v>
                </c:pt>
                <c:pt idx="9">
                  <c:v>154974.15928594008</c:v>
                </c:pt>
                <c:pt idx="10">
                  <c:v>154974.15928594008</c:v>
                </c:pt>
                <c:pt idx="11">
                  <c:v>154974.15928594008</c:v>
                </c:pt>
                <c:pt idx="12">
                  <c:v>154974.15928594008</c:v>
                </c:pt>
                <c:pt idx="13">
                  <c:v>154974.15928594008</c:v>
                </c:pt>
                <c:pt idx="14">
                  <c:v>154974.15928594008</c:v>
                </c:pt>
                <c:pt idx="15">
                  <c:v>154974.15928594008</c:v>
                </c:pt>
                <c:pt idx="16">
                  <c:v>154974.15928594008</c:v>
                </c:pt>
                <c:pt idx="17">
                  <c:v>154974.15928594008</c:v>
                </c:pt>
                <c:pt idx="18">
                  <c:v>154974.15928594008</c:v>
                </c:pt>
                <c:pt idx="19">
                  <c:v>154974.15928594008</c:v>
                </c:pt>
                <c:pt idx="20">
                  <c:v>154974.15928594008</c:v>
                </c:pt>
                <c:pt idx="21">
                  <c:v>154974.15928594008</c:v>
                </c:pt>
                <c:pt idx="22">
                  <c:v>154974.15928594008</c:v>
                </c:pt>
                <c:pt idx="23">
                  <c:v>154974.15928594008</c:v>
                </c:pt>
                <c:pt idx="24">
                  <c:v>154974.15928594008</c:v>
                </c:pt>
                <c:pt idx="25">
                  <c:v>154974.15928594008</c:v>
                </c:pt>
                <c:pt idx="26">
                  <c:v>154974.15928594008</c:v>
                </c:pt>
                <c:pt idx="27">
                  <c:v>154974.15928594008</c:v>
                </c:pt>
                <c:pt idx="28">
                  <c:v>154974.15928594008</c:v>
                </c:pt>
                <c:pt idx="29">
                  <c:v>154974.15928594008</c:v>
                </c:pt>
                <c:pt idx="30">
                  <c:v>154974.15928594008</c:v>
                </c:pt>
                <c:pt idx="31">
                  <c:v>154974.15928594008</c:v>
                </c:pt>
                <c:pt idx="32">
                  <c:v>154974.15928594008</c:v>
                </c:pt>
                <c:pt idx="33">
                  <c:v>154974.15928594008</c:v>
                </c:pt>
                <c:pt idx="34">
                  <c:v>154974.15928594008</c:v>
                </c:pt>
                <c:pt idx="35">
                  <c:v>154974.15928594008</c:v>
                </c:pt>
                <c:pt idx="36">
                  <c:v>154974.15928594008</c:v>
                </c:pt>
                <c:pt idx="37">
                  <c:v>154974.15928594008</c:v>
                </c:pt>
                <c:pt idx="38">
                  <c:v>154974.15928594008</c:v>
                </c:pt>
                <c:pt idx="39">
                  <c:v>154974.15928594008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5BC-4787-8E82-B66DE967AD34}"/>
            </c:ext>
          </c:extLst>
        </c:ser>
        <c:ser>
          <c:idx val="4"/>
          <c:order val="4"/>
          <c:tx>
            <c:strRef>
              <c:f>'Projecoes-linha de base'!$B$11</c:f>
              <c:strCache>
                <c:ptCount val="1"/>
                <c:pt idx="0">
                  <c:v>Transição para Floresta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numRef>
              <c:f>'Projecoes-linha de base'!$C$6:$AP$6</c:f>
              <c:numCache>
                <c:formatCode>General</c:formatCode>
                <c:ptCount val="40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  <c:pt idx="12">
                  <c:v>2023</c:v>
                </c:pt>
                <c:pt idx="13">
                  <c:v>2024</c:v>
                </c:pt>
                <c:pt idx="14">
                  <c:v>2025</c:v>
                </c:pt>
                <c:pt idx="15">
                  <c:v>2026</c:v>
                </c:pt>
                <c:pt idx="16">
                  <c:v>2027</c:v>
                </c:pt>
                <c:pt idx="17">
                  <c:v>2028</c:v>
                </c:pt>
                <c:pt idx="18">
                  <c:v>2029</c:v>
                </c:pt>
                <c:pt idx="19">
                  <c:v>2030</c:v>
                </c:pt>
                <c:pt idx="20">
                  <c:v>2031</c:v>
                </c:pt>
                <c:pt idx="21">
                  <c:v>2032</c:v>
                </c:pt>
                <c:pt idx="22">
                  <c:v>2033</c:v>
                </c:pt>
                <c:pt idx="23">
                  <c:v>2034</c:v>
                </c:pt>
                <c:pt idx="24">
                  <c:v>2035</c:v>
                </c:pt>
                <c:pt idx="25">
                  <c:v>2036</c:v>
                </c:pt>
                <c:pt idx="26">
                  <c:v>2037</c:v>
                </c:pt>
                <c:pt idx="27">
                  <c:v>2038</c:v>
                </c:pt>
                <c:pt idx="28">
                  <c:v>2039</c:v>
                </c:pt>
                <c:pt idx="29">
                  <c:v>2040</c:v>
                </c:pt>
                <c:pt idx="30">
                  <c:v>2041</c:v>
                </c:pt>
                <c:pt idx="31">
                  <c:v>2042</c:v>
                </c:pt>
                <c:pt idx="32">
                  <c:v>2043</c:v>
                </c:pt>
                <c:pt idx="33">
                  <c:v>2044</c:v>
                </c:pt>
                <c:pt idx="34">
                  <c:v>2045</c:v>
                </c:pt>
                <c:pt idx="35">
                  <c:v>2046</c:v>
                </c:pt>
                <c:pt idx="36">
                  <c:v>2047</c:v>
                </c:pt>
                <c:pt idx="37">
                  <c:v>2048</c:v>
                </c:pt>
                <c:pt idx="38">
                  <c:v>2049</c:v>
                </c:pt>
                <c:pt idx="39">
                  <c:v>2050</c:v>
                </c:pt>
              </c:numCache>
            </c:numRef>
          </c:cat>
          <c:val>
            <c:numRef>
              <c:f>'Projecoes-linha de base'!$C$11:$AP$11</c:f>
              <c:numCache>
                <c:formatCode>_(* #,##0.00_);_(* \(#,##0.00\);_(* "-"??_);_(@_)</c:formatCode>
                <c:ptCount val="40"/>
                <c:pt idx="0">
                  <c:v>-3248647.0414378578</c:v>
                </c:pt>
                <c:pt idx="1">
                  <c:v>-3248647.0414378578</c:v>
                </c:pt>
                <c:pt idx="2">
                  <c:v>-3248647.0414378578</c:v>
                </c:pt>
                <c:pt idx="3">
                  <c:v>-3248647.0414378578</c:v>
                </c:pt>
                <c:pt idx="4">
                  <c:v>-3248647.0414378578</c:v>
                </c:pt>
                <c:pt idx="5">
                  <c:v>-3248647.0414378578</c:v>
                </c:pt>
                <c:pt idx="6">
                  <c:v>-3248647.0414378578</c:v>
                </c:pt>
                <c:pt idx="7">
                  <c:v>-3248647.0414378578</c:v>
                </c:pt>
                <c:pt idx="8">
                  <c:v>-3248647.0414378578</c:v>
                </c:pt>
                <c:pt idx="9">
                  <c:v>-3248647.0414378573</c:v>
                </c:pt>
                <c:pt idx="10">
                  <c:v>-3248647.0414378573</c:v>
                </c:pt>
                <c:pt idx="11">
                  <c:v>-3248647.0414378573</c:v>
                </c:pt>
                <c:pt idx="12">
                  <c:v>-3248647.0414378573</c:v>
                </c:pt>
                <c:pt idx="13">
                  <c:v>-3248647.0414378573</c:v>
                </c:pt>
                <c:pt idx="14">
                  <c:v>-3248647.0414378573</c:v>
                </c:pt>
                <c:pt idx="15">
                  <c:v>-3248647.0414378573</c:v>
                </c:pt>
                <c:pt idx="16">
                  <c:v>-3248647.0414378573</c:v>
                </c:pt>
                <c:pt idx="17">
                  <c:v>-3248647.0414378573</c:v>
                </c:pt>
                <c:pt idx="18">
                  <c:v>-3248647.0414378573</c:v>
                </c:pt>
                <c:pt idx="19">
                  <c:v>-3248647.0414378573</c:v>
                </c:pt>
                <c:pt idx="20">
                  <c:v>-3248647.0414378573</c:v>
                </c:pt>
                <c:pt idx="21">
                  <c:v>-3248647.0414378573</c:v>
                </c:pt>
                <c:pt idx="22">
                  <c:v>-3248647.0414378573</c:v>
                </c:pt>
                <c:pt idx="23">
                  <c:v>-3248647.0414378573</c:v>
                </c:pt>
                <c:pt idx="24">
                  <c:v>-3248647.0414378573</c:v>
                </c:pt>
                <c:pt idx="25">
                  <c:v>-3248647.0414378573</c:v>
                </c:pt>
                <c:pt idx="26">
                  <c:v>-3248647.0414378573</c:v>
                </c:pt>
                <c:pt idx="27">
                  <c:v>-3248647.0414378573</c:v>
                </c:pt>
                <c:pt idx="28">
                  <c:v>-3248647.0414378573</c:v>
                </c:pt>
                <c:pt idx="29">
                  <c:v>-3248647.0414378573</c:v>
                </c:pt>
                <c:pt idx="30">
                  <c:v>-3248647.0414378573</c:v>
                </c:pt>
                <c:pt idx="31">
                  <c:v>-3248647.0414378573</c:v>
                </c:pt>
                <c:pt idx="32">
                  <c:v>-3248647.0414378573</c:v>
                </c:pt>
                <c:pt idx="33">
                  <c:v>-3248647.0414378573</c:v>
                </c:pt>
                <c:pt idx="34">
                  <c:v>-3248647.0414378573</c:v>
                </c:pt>
                <c:pt idx="35">
                  <c:v>-3248647.0414378573</c:v>
                </c:pt>
                <c:pt idx="36">
                  <c:v>-3248647.0414378573</c:v>
                </c:pt>
                <c:pt idx="37">
                  <c:v>-3248647.0414378573</c:v>
                </c:pt>
                <c:pt idx="38">
                  <c:v>-3248647.0414378573</c:v>
                </c:pt>
                <c:pt idx="39">
                  <c:v>-3248647.0414378573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5BC-4787-8E82-B66DE967AD34}"/>
            </c:ext>
          </c:extLst>
        </c:ser>
        <c:ser>
          <c:idx val="5"/>
          <c:order val="5"/>
          <c:tx>
            <c:strRef>
              <c:f>'Projecoes-linha de base'!$B$12</c:f>
              <c:strCache>
                <c:ptCount val="1"/>
                <c:pt idx="0">
                  <c:v>Floresta permanente</c:v>
                </c:pt>
              </c:strCache>
            </c:strRef>
          </c:tx>
          <c:invertIfNegative val="0"/>
          <c:cat>
            <c:numRef>
              <c:f>'Projecoes-linha de base'!$C$6:$AP$6</c:f>
              <c:numCache>
                <c:formatCode>General</c:formatCode>
                <c:ptCount val="40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  <c:pt idx="12">
                  <c:v>2023</c:v>
                </c:pt>
                <c:pt idx="13">
                  <c:v>2024</c:v>
                </c:pt>
                <c:pt idx="14">
                  <c:v>2025</c:v>
                </c:pt>
                <c:pt idx="15">
                  <c:v>2026</c:v>
                </c:pt>
                <c:pt idx="16">
                  <c:v>2027</c:v>
                </c:pt>
                <c:pt idx="17">
                  <c:v>2028</c:v>
                </c:pt>
                <c:pt idx="18">
                  <c:v>2029</c:v>
                </c:pt>
                <c:pt idx="19">
                  <c:v>2030</c:v>
                </c:pt>
                <c:pt idx="20">
                  <c:v>2031</c:v>
                </c:pt>
                <c:pt idx="21">
                  <c:v>2032</c:v>
                </c:pt>
                <c:pt idx="22">
                  <c:v>2033</c:v>
                </c:pt>
                <c:pt idx="23">
                  <c:v>2034</c:v>
                </c:pt>
                <c:pt idx="24">
                  <c:v>2035</c:v>
                </c:pt>
                <c:pt idx="25">
                  <c:v>2036</c:v>
                </c:pt>
                <c:pt idx="26">
                  <c:v>2037</c:v>
                </c:pt>
                <c:pt idx="27">
                  <c:v>2038</c:v>
                </c:pt>
                <c:pt idx="28">
                  <c:v>2039</c:v>
                </c:pt>
                <c:pt idx="29">
                  <c:v>2040</c:v>
                </c:pt>
                <c:pt idx="30">
                  <c:v>2041</c:v>
                </c:pt>
                <c:pt idx="31">
                  <c:v>2042</c:v>
                </c:pt>
                <c:pt idx="32">
                  <c:v>2043</c:v>
                </c:pt>
                <c:pt idx="33">
                  <c:v>2044</c:v>
                </c:pt>
                <c:pt idx="34">
                  <c:v>2045</c:v>
                </c:pt>
                <c:pt idx="35">
                  <c:v>2046</c:v>
                </c:pt>
                <c:pt idx="36">
                  <c:v>2047</c:v>
                </c:pt>
                <c:pt idx="37">
                  <c:v>2048</c:v>
                </c:pt>
                <c:pt idx="38">
                  <c:v>2049</c:v>
                </c:pt>
                <c:pt idx="39">
                  <c:v>2050</c:v>
                </c:pt>
              </c:numCache>
            </c:numRef>
          </c:cat>
          <c:val>
            <c:numRef>
              <c:f>'Projecoes-linha de base'!$C$12:$AP$12</c:f>
              <c:numCache>
                <c:formatCode>_(* #,##0.00_);_(* \(#,##0.00\);_(* "-"??_);_(@_)</c:formatCode>
                <c:ptCount val="40"/>
                <c:pt idx="0">
                  <c:v>-9645052.069845859</c:v>
                </c:pt>
                <c:pt idx="1">
                  <c:v>-9645052.069845859</c:v>
                </c:pt>
                <c:pt idx="2">
                  <c:v>-9645052.069845859</c:v>
                </c:pt>
                <c:pt idx="3">
                  <c:v>-9645052.069845859</c:v>
                </c:pt>
                <c:pt idx="4">
                  <c:v>-9645052.069845859</c:v>
                </c:pt>
                <c:pt idx="5">
                  <c:v>-9645052.069845859</c:v>
                </c:pt>
                <c:pt idx="6">
                  <c:v>-9645052.069845859</c:v>
                </c:pt>
                <c:pt idx="7">
                  <c:v>-9645052.069845859</c:v>
                </c:pt>
                <c:pt idx="8">
                  <c:v>-9645052.069845859</c:v>
                </c:pt>
                <c:pt idx="9">
                  <c:v>-9645052.0698458571</c:v>
                </c:pt>
                <c:pt idx="10">
                  <c:v>-9645052.0698458571</c:v>
                </c:pt>
                <c:pt idx="11">
                  <c:v>-9645052.0698458571</c:v>
                </c:pt>
                <c:pt idx="12">
                  <c:v>-9645052.0698458571</c:v>
                </c:pt>
                <c:pt idx="13">
                  <c:v>-9645052.0698458571</c:v>
                </c:pt>
                <c:pt idx="14">
                  <c:v>-9645052.0698458571</c:v>
                </c:pt>
                <c:pt idx="15">
                  <c:v>-9645052.0698458571</c:v>
                </c:pt>
                <c:pt idx="16">
                  <c:v>-9645052.0698458571</c:v>
                </c:pt>
                <c:pt idx="17">
                  <c:v>-9645052.0698458571</c:v>
                </c:pt>
                <c:pt idx="18">
                  <c:v>-9645052.0698458571</c:v>
                </c:pt>
                <c:pt idx="19">
                  <c:v>-9645052.0698458571</c:v>
                </c:pt>
                <c:pt idx="20">
                  <c:v>-9645052.0698458571</c:v>
                </c:pt>
                <c:pt idx="21">
                  <c:v>-9645052.0698458571</c:v>
                </c:pt>
                <c:pt idx="22">
                  <c:v>-9645052.0698458571</c:v>
                </c:pt>
                <c:pt idx="23">
                  <c:v>-9645052.0698458571</c:v>
                </c:pt>
                <c:pt idx="24">
                  <c:v>-9645052.0698458571</c:v>
                </c:pt>
                <c:pt idx="25">
                  <c:v>-9645052.0698458571</c:v>
                </c:pt>
                <c:pt idx="26">
                  <c:v>-9645052.0698458571</c:v>
                </c:pt>
                <c:pt idx="27">
                  <c:v>-9645052.0698458571</c:v>
                </c:pt>
                <c:pt idx="28">
                  <c:v>-9645052.0698458571</c:v>
                </c:pt>
                <c:pt idx="29">
                  <c:v>-9645052.0698458571</c:v>
                </c:pt>
                <c:pt idx="30">
                  <c:v>-9645052.0698458571</c:v>
                </c:pt>
                <c:pt idx="31">
                  <c:v>-9645052.0698458571</c:v>
                </c:pt>
                <c:pt idx="32">
                  <c:v>-9645052.0698458571</c:v>
                </c:pt>
                <c:pt idx="33">
                  <c:v>-9645052.0698458571</c:v>
                </c:pt>
                <c:pt idx="34">
                  <c:v>-9645052.0698458571</c:v>
                </c:pt>
                <c:pt idx="35">
                  <c:v>-9645052.0698458571</c:v>
                </c:pt>
                <c:pt idx="36">
                  <c:v>-9645052.0698458571</c:v>
                </c:pt>
                <c:pt idx="37">
                  <c:v>-9645052.0698458571</c:v>
                </c:pt>
                <c:pt idx="38">
                  <c:v>-9645052.0698458571</c:v>
                </c:pt>
                <c:pt idx="39">
                  <c:v>-9645052.0698458571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D5BC-4787-8E82-B66DE967AD3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135995688"/>
        <c:axId val="2135980248"/>
      </c:barChart>
      <c:catAx>
        <c:axId val="21359956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>
              <a:alpha val="25000"/>
            </a:schemeClr>
          </a:solidFill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54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35980248"/>
        <c:crosses val="autoZero"/>
        <c:auto val="1"/>
        <c:lblAlgn val="ctr"/>
        <c:lblOffset val="100"/>
        <c:noMultiLvlLbl val="0"/>
      </c:catAx>
      <c:valAx>
        <c:axId val="2135980248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tCO2e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_(* #,##0_);_(* \(#,##0\);_(* &quot;-&quot;_);_(@_)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35995688"/>
        <c:crosses val="autoZero"/>
        <c:crossBetween val="between"/>
        <c:dispUnits>
          <c:builtInUnit val="millions"/>
          <c:dispUnitsLbl>
            <c:tx>
              <c:rich>
                <a:bodyPr/>
                <a:lstStyle/>
                <a:p>
                  <a:pPr>
                    <a:defRPr/>
                  </a:pPr>
                  <a:r>
                    <a:rPr lang="en-US"/>
                    <a:t>Milh</a:t>
                  </a:r>
                  <a:r>
                    <a:rPr lang="en-US">
                      <a:latin typeface="Calibri" panose="020F0502020204030204" pitchFamily="34" charset="0"/>
                      <a:cs typeface="Calibri" panose="020F0502020204030204" pitchFamily="34" charset="0"/>
                    </a:rPr>
                    <a:t>ões</a:t>
                  </a:r>
                  <a:endParaRPr lang="en-US"/>
                </a:p>
              </c:rich>
            </c:tx>
          </c:dispUnitsLbl>
        </c:dispUnits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"/>
          <c:y val="0.82049152946790738"/>
          <c:w val="1"/>
          <c:h val="0.179508470532092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zero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areaChart>
        <c:grouping val="stacked"/>
        <c:varyColors val="0"/>
        <c:ser>
          <c:idx val="0"/>
          <c:order val="0"/>
          <c:tx>
            <c:strRef>
              <c:f>Resumo!$C$56</c:f>
              <c:strCache>
                <c:ptCount val="1"/>
                <c:pt idx="0">
                  <c:v>Mata Atlântica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numRef>
              <c:f>Resumo!$D$55:$V$55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Resumo!$D$56:$V$56</c:f>
              <c:numCache>
                <c:formatCode>_(* #,##0.00_);_(* \(#,##0.00\);_(* "-"??_);_(@_)</c:formatCode>
                <c:ptCount val="9"/>
                <c:pt idx="0">
                  <c:v>16630.942073754479</c:v>
                </c:pt>
                <c:pt idx="1">
                  <c:v>19915.146228213856</c:v>
                </c:pt>
                <c:pt idx="2">
                  <c:v>23634.300641876845</c:v>
                </c:pt>
                <c:pt idx="3">
                  <c:v>18616.054722889294</c:v>
                </c:pt>
                <c:pt idx="4">
                  <c:v>16216.524872267968</c:v>
                </c:pt>
                <c:pt idx="5">
                  <c:v>16788.111779776489</c:v>
                </c:pt>
                <c:pt idx="6">
                  <c:v>17678.628823615352</c:v>
                </c:pt>
                <c:pt idx="7">
                  <c:v>11276.404733862777</c:v>
                </c:pt>
                <c:pt idx="8">
                  <c:v>16448.732053443317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7C3-410B-BECD-2A05879A3BC1}"/>
            </c:ext>
          </c:extLst>
        </c:ser>
        <c:ser>
          <c:idx val="1"/>
          <c:order val="1"/>
          <c:tx>
            <c:strRef>
              <c:f>Resumo!$C$57</c:f>
              <c:strCache>
                <c:ptCount val="1"/>
                <c:pt idx="0">
                  <c:v>Cerrado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numRef>
              <c:f>Resumo!$D$55:$V$55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Resumo!$D$57:$V$57</c:f>
              <c:numCache>
                <c:formatCode>_(* #,##0.00_);_(* \(#,##0.00\);_(* "-"??_);_(@_)</c:formatCode>
                <c:ptCount val="9"/>
                <c:pt idx="0">
                  <c:v>10331.466740302072</c:v>
                </c:pt>
                <c:pt idx="1">
                  <c:v>12917.129593806558</c:v>
                </c:pt>
                <c:pt idx="2">
                  <c:v>17009.134287236</c:v>
                </c:pt>
                <c:pt idx="3">
                  <c:v>12772.813915786372</c:v>
                </c:pt>
                <c:pt idx="4">
                  <c:v>7931.3526156806802</c:v>
                </c:pt>
                <c:pt idx="5">
                  <c:v>11017.237480969417</c:v>
                </c:pt>
                <c:pt idx="6">
                  <c:v>10443.313477460573</c:v>
                </c:pt>
                <c:pt idx="7">
                  <c:v>3447.383535910712</c:v>
                </c:pt>
                <c:pt idx="8">
                  <c:v>9549.3742573355557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7C3-410B-BECD-2A05879A3BC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-2020268104"/>
        <c:axId val="-2020316520"/>
      </c:areaChart>
      <c:catAx>
        <c:axId val="-20202681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20316520"/>
        <c:crosses val="autoZero"/>
        <c:auto val="1"/>
        <c:lblAlgn val="ctr"/>
        <c:lblOffset val="100"/>
        <c:noMultiLvlLbl val="0"/>
      </c:catAx>
      <c:valAx>
        <c:axId val="-2020316520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ha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_(* #,##0.00_);_(* \(#,##0.00\);_(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2026810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areaChart>
        <c:grouping val="standard"/>
        <c:varyColors val="0"/>
        <c:ser>
          <c:idx val="0"/>
          <c:order val="0"/>
          <c:tx>
            <c:strRef>
              <c:f>Resumo!$B$24</c:f>
              <c:strCache>
                <c:ptCount val="1"/>
                <c:pt idx="0">
                  <c:v>Floresta permanente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numRef>
              <c:f>Resumo!$D$14:$V$14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Resumo!$D$24:$V$24</c:f>
              <c:numCache>
                <c:formatCode>_(* #,##0.00_);_(* \(#,##0.00\);_(* "-"??_);_(@_)</c:formatCode>
                <c:ptCount val="9"/>
                <c:pt idx="0">
                  <c:v>1996310.4272817669</c:v>
                </c:pt>
                <c:pt idx="1">
                  <c:v>2002041.0701422852</c:v>
                </c:pt>
                <c:pt idx="2">
                  <c:v>2008736.349376936</c:v>
                </c:pt>
                <c:pt idx="3">
                  <c:v>2008990.2581638298</c:v>
                </c:pt>
                <c:pt idx="4">
                  <c:v>2009705.242604502</c:v>
                </c:pt>
                <c:pt idx="5">
                  <c:v>2010420.227045174</c:v>
                </c:pt>
                <c:pt idx="6">
                  <c:v>2010479.6560577569</c:v>
                </c:pt>
                <c:pt idx="7">
                  <c:v>2015750.3918124852</c:v>
                </c:pt>
                <c:pt idx="8">
                  <c:v>2020670.0623608911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F29-4B31-AA4F-CEB81B0CF99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-2024070696"/>
        <c:axId val="-2024067176"/>
      </c:areaChart>
      <c:catAx>
        <c:axId val="-20240706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24067176"/>
        <c:crosses val="autoZero"/>
        <c:auto val="1"/>
        <c:lblAlgn val="ctr"/>
        <c:lblOffset val="100"/>
        <c:noMultiLvlLbl val="0"/>
      </c:catAx>
      <c:valAx>
        <c:axId val="-2024067176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ha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_(* #,##0.00_);_(* \(#,##0.00\);_(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2407069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zero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areaChart>
        <c:grouping val="standard"/>
        <c:varyColors val="0"/>
        <c:ser>
          <c:idx val="0"/>
          <c:order val="0"/>
          <c:tx>
            <c:strRef>
              <c:f>Resumo!$B$79</c:f>
              <c:strCache>
                <c:ptCount val="1"/>
                <c:pt idx="0">
                  <c:v>Total Emissões - LUC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numRef>
              <c:f>Resumo!$D$78:$U$78</c:f>
              <c:numCache>
                <c:formatCode>General</c:formatCode>
                <c:ptCount val="8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</c:numCache>
            </c:numRef>
          </c:cat>
          <c:val>
            <c:numRef>
              <c:f>Resumo!$D$79:$U$79</c:f>
              <c:numCache>
                <c:formatCode>_(* #,##0.00_);_(* \(#,##0.00\);_(* "-"??_);_(@_)</c:formatCode>
                <c:ptCount val="8"/>
                <c:pt idx="0">
                  <c:v>11013414.561011454</c:v>
                </c:pt>
                <c:pt idx="1">
                  <c:v>17649747.948341887</c:v>
                </c:pt>
                <c:pt idx="2">
                  <c:v>17436002.531667128</c:v>
                </c:pt>
                <c:pt idx="3">
                  <c:v>15769840.936089151</c:v>
                </c:pt>
                <c:pt idx="4">
                  <c:v>12937631.614016481</c:v>
                </c:pt>
                <c:pt idx="5">
                  <c:v>13542666.128660366</c:v>
                </c:pt>
                <c:pt idx="6">
                  <c:v>14335277.119560054</c:v>
                </c:pt>
                <c:pt idx="7">
                  <c:v>8536665.2078985143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FC7-4747-84F8-86CEDC53F09A}"/>
            </c:ext>
          </c:extLst>
        </c:ser>
        <c:ser>
          <c:idx val="1"/>
          <c:order val="1"/>
          <c:tx>
            <c:strRef>
              <c:f>Resumo!$B$80</c:f>
              <c:strCache>
                <c:ptCount val="1"/>
                <c:pt idx="0">
                  <c:v>Total Remoções - LUC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numRef>
              <c:f>Resumo!$D$78:$U$78</c:f>
              <c:numCache>
                <c:formatCode>General</c:formatCode>
                <c:ptCount val="8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</c:numCache>
            </c:numRef>
          </c:cat>
          <c:val>
            <c:numRef>
              <c:f>Resumo!$D$80:$U$80</c:f>
              <c:numCache>
                <c:formatCode>_(* #,##0.00_);_(* \(#,##0.00\);_(* "-"??_);_(@_)</c:formatCode>
                <c:ptCount val="8"/>
                <c:pt idx="0">
                  <c:v>-12893699.111283716</c:v>
                </c:pt>
                <c:pt idx="1">
                  <c:v>-12893699.111283716</c:v>
                </c:pt>
                <c:pt idx="2">
                  <c:v>-12893699.111283716</c:v>
                </c:pt>
                <c:pt idx="3">
                  <c:v>-12893699.111283716</c:v>
                </c:pt>
                <c:pt idx="4">
                  <c:v>-12893699.111283716</c:v>
                </c:pt>
                <c:pt idx="5">
                  <c:v>-12893699.111283716</c:v>
                </c:pt>
                <c:pt idx="6">
                  <c:v>-12893699.111283716</c:v>
                </c:pt>
                <c:pt idx="7">
                  <c:v>-12893699.111283716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FC7-4747-84F8-86CEDC53F09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-2025886712"/>
        <c:axId val="-2025883224"/>
      </c:areaChart>
      <c:catAx>
        <c:axId val="-20258867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>
              <a:alpha val="25000"/>
            </a:schemeClr>
          </a:solidFill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25883224"/>
        <c:crosses val="autoZero"/>
        <c:auto val="1"/>
        <c:lblAlgn val="ctr"/>
        <c:lblOffset val="100"/>
        <c:noMultiLvlLbl val="0"/>
      </c:catAx>
      <c:valAx>
        <c:axId val="-2025883224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tCO2e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_(* #,##0_);_(* \(#,##0\);_(* &quot;-&quot;_);_(@_)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2588671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zero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areaChart>
        <c:grouping val="standard"/>
        <c:varyColors val="0"/>
        <c:ser>
          <c:idx val="1"/>
          <c:order val="0"/>
          <c:tx>
            <c:strRef>
              <c:f>Resumo!$B$46</c:f>
              <c:strCache>
                <c:ptCount val="1"/>
                <c:pt idx="0">
                  <c:v>Transição para Formação Campestre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numRef>
              <c:f>Resumo!$D$44:$V$44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Resumo!$D$46:$V$46</c:f>
              <c:numCache>
                <c:formatCode>_(* #,##0.00_);_(* \(#,##0.00\);_(* "-"??_);_(@_)</c:formatCode>
                <c:ptCount val="9"/>
                <c:pt idx="0">
                  <c:v>6419311.0532317357</c:v>
                </c:pt>
                <c:pt idx="1">
                  <c:v>7472911.2627836708</c:v>
                </c:pt>
                <c:pt idx="2">
                  <c:v>8777083.959951913</c:v>
                </c:pt>
                <c:pt idx="3">
                  <c:v>6108159.6770414133</c:v>
                </c:pt>
                <c:pt idx="4">
                  <c:v>5708563.1833348898</c:v>
                </c:pt>
                <c:pt idx="5">
                  <c:v>5196138.660808932</c:v>
                </c:pt>
                <c:pt idx="6">
                  <c:v>5338202.9452520367</c:v>
                </c:pt>
                <c:pt idx="7">
                  <c:v>4995631.4967136029</c:v>
                </c:pt>
                <c:pt idx="8">
                  <c:v>7325696.415227484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67B-4215-AC9F-0EF625207777}"/>
            </c:ext>
          </c:extLst>
        </c:ser>
        <c:ser>
          <c:idx val="0"/>
          <c:order val="1"/>
          <c:tx>
            <c:strRef>
              <c:f>Resumo!$B$45</c:f>
              <c:strCache>
                <c:ptCount val="1"/>
                <c:pt idx="0">
                  <c:v>Transição para Agricultura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numRef>
              <c:f>Resumo!$D$44:$V$44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Resumo!$D$45:$V$45</c:f>
              <c:numCache>
                <c:formatCode>_(* #,##0.00_);_(* \(#,##0.00\);_(* "-"??_);_(@_)</c:formatCode>
                <c:ptCount val="9"/>
                <c:pt idx="0">
                  <c:v>1429807.559813607</c:v>
                </c:pt>
                <c:pt idx="1">
                  <c:v>4277880.5840348443</c:v>
                </c:pt>
                <c:pt idx="2">
                  <c:v>4829092.8384370562</c:v>
                </c:pt>
                <c:pt idx="3">
                  <c:v>4734388.5346184243</c:v>
                </c:pt>
                <c:pt idx="4">
                  <c:v>2777871.8535934947</c:v>
                </c:pt>
                <c:pt idx="5">
                  <c:v>3395624.8477810682</c:v>
                </c:pt>
                <c:pt idx="6">
                  <c:v>3529397.5848426679</c:v>
                </c:pt>
                <c:pt idx="7">
                  <c:v>984243.40931192215</c:v>
                </c:pt>
                <c:pt idx="8">
                  <c:v>2190367.6451781495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67B-4215-AC9F-0EF625207777}"/>
            </c:ext>
          </c:extLst>
        </c:ser>
        <c:ser>
          <c:idx val="2"/>
          <c:order val="2"/>
          <c:tx>
            <c:strRef>
              <c:f>Resumo!$B$47</c:f>
              <c:strCache>
                <c:ptCount val="1"/>
                <c:pt idx="0">
                  <c:v>Transição para Área Edificada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cat>
            <c:numRef>
              <c:f>Resumo!$D$44:$V$44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Resumo!$N$47:$V$47</c:f>
              <c:numCache>
                <c:formatCode>_(* #,##0.00_);_(* \(#,##0.00\);_(* "-"??_);_(@_)</c:formatCode>
                <c:ptCount val="9"/>
                <c:pt idx="0">
                  <c:v>76007.765074001654</c:v>
                </c:pt>
                <c:pt idx="1">
                  <c:v>146702.51507460448</c:v>
                </c:pt>
                <c:pt idx="2">
                  <c:v>179853.47716811666</c:v>
                </c:pt>
                <c:pt idx="3">
                  <c:v>146176.79298053816</c:v>
                </c:pt>
                <c:pt idx="4">
                  <c:v>131840.03142535302</c:v>
                </c:pt>
                <c:pt idx="5">
                  <c:v>78203.361596988703</c:v>
                </c:pt>
                <c:pt idx="6">
                  <c:v>959.44760367561412</c:v>
                </c:pt>
                <c:pt idx="7">
                  <c:v>159045.74695723219</c:v>
                </c:pt>
                <c:pt idx="8">
                  <c:v>43640.796162423452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67B-4215-AC9F-0EF625207777}"/>
            </c:ext>
          </c:extLst>
        </c:ser>
        <c:ser>
          <c:idx val="3"/>
          <c:order val="3"/>
          <c:tx>
            <c:strRef>
              <c:f>Resumo!$B$48</c:f>
              <c:strCache>
                <c:ptCount val="1"/>
                <c:pt idx="0">
                  <c:v>Transição para Hidrografia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cat>
            <c:numRef>
              <c:f>Resumo!$D$44:$V$44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Resumo!$D$48:$V$48</c:f>
              <c:numCache>
                <c:formatCode>_(* #,##0.00_);_(* \(#,##0.00\);_(* "-"??_);_(@_)</c:formatCode>
                <c:ptCount val="9"/>
                <c:pt idx="0">
                  <c:v>107106.21892980812</c:v>
                </c:pt>
                <c:pt idx="1">
                  <c:v>246782.1683512328</c:v>
                </c:pt>
                <c:pt idx="2">
                  <c:v>150363.30246323941</c:v>
                </c:pt>
                <c:pt idx="3">
                  <c:v>94742.350211271798</c:v>
                </c:pt>
                <c:pt idx="4">
                  <c:v>61638.860797604902</c:v>
                </c:pt>
                <c:pt idx="5">
                  <c:v>258890.94582359056</c:v>
                </c:pt>
                <c:pt idx="6">
                  <c:v>203510.10069373084</c:v>
                </c:pt>
                <c:pt idx="7">
                  <c:v>115734.36892766631</c:v>
                </c:pt>
                <c:pt idx="8">
                  <c:v>155999.11737531616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67B-4215-AC9F-0EF625207777}"/>
            </c:ext>
          </c:extLst>
        </c:ser>
        <c:ser>
          <c:idx val="4"/>
          <c:order val="4"/>
          <c:tx>
            <c:strRef>
              <c:f>Resumo!$B$50</c:f>
              <c:strCache>
                <c:ptCount val="1"/>
                <c:pt idx="0">
                  <c:v>Transição para Floresta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cat>
            <c:numRef>
              <c:f>Resumo!$D$44:$V$44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Resumo!$D$50:$V$50</c:f>
              <c:numCache>
                <c:formatCode>_(* #,##0.00_);_(* \(#,##0.00\);_(* "-"??_);_(@_)</c:formatCode>
                <c:ptCount val="9"/>
                <c:pt idx="0">
                  <c:v>-3248647.0414378578</c:v>
                </c:pt>
                <c:pt idx="1">
                  <c:v>-3248647.0414378578</c:v>
                </c:pt>
                <c:pt idx="2">
                  <c:v>-3248647.0414378578</c:v>
                </c:pt>
                <c:pt idx="3">
                  <c:v>-3248647.0414378578</c:v>
                </c:pt>
                <c:pt idx="4">
                  <c:v>-3248647.0414378578</c:v>
                </c:pt>
                <c:pt idx="5">
                  <c:v>-3248647.0414378578</c:v>
                </c:pt>
                <c:pt idx="6">
                  <c:v>-3248647.0414378578</c:v>
                </c:pt>
                <c:pt idx="7">
                  <c:v>-3248647.0414378578</c:v>
                </c:pt>
                <c:pt idx="8">
                  <c:v>-3248647.0414378578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67B-4215-AC9F-0EF62520777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-2020294984"/>
        <c:axId val="2118874184"/>
      </c:areaChart>
      <c:catAx>
        <c:axId val="-20202949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solidFill>
            <a:schemeClr val="bg1">
              <a:alpha val="25000"/>
            </a:schemeClr>
          </a:solidFill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18874184"/>
        <c:crosses val="autoZero"/>
        <c:auto val="1"/>
        <c:lblAlgn val="ctr"/>
        <c:lblOffset val="100"/>
        <c:noMultiLvlLbl val="0"/>
      </c:catAx>
      <c:valAx>
        <c:axId val="2118874184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tCO2e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_(* #,##0.00_);_(* \(#,##0.00\);_(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2029498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5772105391811914"/>
          <c:y val="0.74999839305801064"/>
          <c:w val="0.67515055444033745"/>
          <c:h val="0.2227907225882478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Resumo!$B$45</c:f>
              <c:strCache>
                <c:ptCount val="1"/>
                <c:pt idx="0">
                  <c:v>Transição para Agricultura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Resumo!$G$44:$V$44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Resumo!$G$45:$V$45</c:f>
              <c:numCache>
                <c:formatCode>_(* #,##0.00_);_(* \(#,##0.00\);_(* "-"??_);_(@_)</c:formatCode>
                <c:ptCount val="9"/>
                <c:pt idx="0">
                  <c:v>1429807.559813607</c:v>
                </c:pt>
                <c:pt idx="1">
                  <c:v>4277880.5840348443</c:v>
                </c:pt>
                <c:pt idx="2">
                  <c:v>4829092.8384370562</c:v>
                </c:pt>
                <c:pt idx="3">
                  <c:v>4734388.5346184243</c:v>
                </c:pt>
                <c:pt idx="4">
                  <c:v>2777871.8535934947</c:v>
                </c:pt>
                <c:pt idx="5">
                  <c:v>3395624.8477810682</c:v>
                </c:pt>
                <c:pt idx="6">
                  <c:v>3529397.5848426679</c:v>
                </c:pt>
                <c:pt idx="7">
                  <c:v>984243.40931192215</c:v>
                </c:pt>
                <c:pt idx="8">
                  <c:v>2190367.6451781495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3C2-4ED7-A815-C9AEB57653AA}"/>
            </c:ext>
          </c:extLst>
        </c:ser>
        <c:ser>
          <c:idx val="1"/>
          <c:order val="1"/>
          <c:tx>
            <c:strRef>
              <c:f>Resumo!$B$46</c:f>
              <c:strCache>
                <c:ptCount val="1"/>
                <c:pt idx="0">
                  <c:v>Transição para Formação Campestre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Resumo!$G$44:$V$44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Resumo!$G$46:$V$46</c:f>
              <c:numCache>
                <c:formatCode>_(* #,##0.00_);_(* \(#,##0.00\);_(* "-"??_);_(@_)</c:formatCode>
                <c:ptCount val="9"/>
                <c:pt idx="0">
                  <c:v>6419311.0532317357</c:v>
                </c:pt>
                <c:pt idx="1">
                  <c:v>7472911.2627836708</c:v>
                </c:pt>
                <c:pt idx="2">
                  <c:v>8777083.959951913</c:v>
                </c:pt>
                <c:pt idx="3">
                  <c:v>6108159.6770414133</c:v>
                </c:pt>
                <c:pt idx="4">
                  <c:v>5708563.1833348898</c:v>
                </c:pt>
                <c:pt idx="5">
                  <c:v>5196138.660808932</c:v>
                </c:pt>
                <c:pt idx="6">
                  <c:v>5338202.9452520367</c:v>
                </c:pt>
                <c:pt idx="7">
                  <c:v>4995631.4967136029</c:v>
                </c:pt>
                <c:pt idx="8">
                  <c:v>7325696.415227484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3C2-4ED7-A815-C9AEB57653AA}"/>
            </c:ext>
          </c:extLst>
        </c:ser>
        <c:ser>
          <c:idx val="2"/>
          <c:order val="2"/>
          <c:tx>
            <c:strRef>
              <c:f>Resumo!$B$47</c:f>
              <c:strCache>
                <c:ptCount val="1"/>
                <c:pt idx="0">
                  <c:v>Transição para Área Edificada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numRef>
              <c:f>Resumo!$G$44:$V$44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Resumo!$N$47:$V$47</c:f>
              <c:numCache>
                <c:formatCode>_(* #,##0.00_);_(* \(#,##0.00\);_(* "-"??_);_(@_)</c:formatCode>
                <c:ptCount val="9"/>
                <c:pt idx="0">
                  <c:v>76007.765074001654</c:v>
                </c:pt>
                <c:pt idx="1">
                  <c:v>146702.51507460448</c:v>
                </c:pt>
                <c:pt idx="2">
                  <c:v>179853.47716811666</c:v>
                </c:pt>
                <c:pt idx="3">
                  <c:v>146176.79298053816</c:v>
                </c:pt>
                <c:pt idx="4">
                  <c:v>131840.03142535302</c:v>
                </c:pt>
                <c:pt idx="5">
                  <c:v>78203.361596988703</c:v>
                </c:pt>
                <c:pt idx="6">
                  <c:v>959.44760367561412</c:v>
                </c:pt>
                <c:pt idx="7">
                  <c:v>159045.74695723219</c:v>
                </c:pt>
                <c:pt idx="8">
                  <c:v>43640.796162423452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3C2-4ED7-A815-C9AEB57653AA}"/>
            </c:ext>
          </c:extLst>
        </c:ser>
        <c:ser>
          <c:idx val="3"/>
          <c:order val="3"/>
          <c:tx>
            <c:strRef>
              <c:f>Resumo!$B$48</c:f>
              <c:strCache>
                <c:ptCount val="1"/>
                <c:pt idx="0">
                  <c:v>Transição para Hidrografia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numRef>
              <c:f>Resumo!$G$44:$V$44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Resumo!$G$48:$V$48</c:f>
              <c:numCache>
                <c:formatCode>_(* #,##0.00_);_(* \(#,##0.00\);_(* "-"??_);_(@_)</c:formatCode>
                <c:ptCount val="9"/>
                <c:pt idx="0">
                  <c:v>107106.21892980812</c:v>
                </c:pt>
                <c:pt idx="1">
                  <c:v>246782.1683512328</c:v>
                </c:pt>
                <c:pt idx="2">
                  <c:v>150363.30246323941</c:v>
                </c:pt>
                <c:pt idx="3">
                  <c:v>94742.350211271798</c:v>
                </c:pt>
                <c:pt idx="4">
                  <c:v>61638.860797604902</c:v>
                </c:pt>
                <c:pt idx="5">
                  <c:v>258890.94582359056</c:v>
                </c:pt>
                <c:pt idx="6">
                  <c:v>203510.10069373084</c:v>
                </c:pt>
                <c:pt idx="7">
                  <c:v>115734.36892766631</c:v>
                </c:pt>
                <c:pt idx="8">
                  <c:v>155999.11737531616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3C2-4ED7-A815-C9AEB57653AA}"/>
            </c:ext>
          </c:extLst>
        </c:ser>
        <c:ser>
          <c:idx val="4"/>
          <c:order val="4"/>
          <c:tx>
            <c:strRef>
              <c:f>Resumo!$B$49</c:f>
              <c:strCache>
                <c:ptCount val="1"/>
                <c:pt idx="0">
                  <c:v>Transição para Floresta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numRef>
              <c:f>Resumo!$G$44:$V$44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Resumo!$N$50:$V$50</c:f>
              <c:numCache>
                <c:formatCode>_(* #,##0.00_);_(* \(#,##0.00\);_(* "-"??_);_(@_)</c:formatCode>
                <c:ptCount val="9"/>
                <c:pt idx="0">
                  <c:v>-3248647.0414378578</c:v>
                </c:pt>
                <c:pt idx="1">
                  <c:v>-3248647.0414378578</c:v>
                </c:pt>
                <c:pt idx="2">
                  <c:v>-3248647.0414378578</c:v>
                </c:pt>
                <c:pt idx="3">
                  <c:v>-3248647.0414378578</c:v>
                </c:pt>
                <c:pt idx="4">
                  <c:v>-3248647.0414378578</c:v>
                </c:pt>
                <c:pt idx="5">
                  <c:v>-3248647.0414378578</c:v>
                </c:pt>
                <c:pt idx="6">
                  <c:v>-3248647.0414378578</c:v>
                </c:pt>
                <c:pt idx="7">
                  <c:v>-3248647.0414378578</c:v>
                </c:pt>
                <c:pt idx="8">
                  <c:v>-3248647.0414378578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3C2-4ED7-A815-C9AEB57653A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-2019895176"/>
        <c:axId val="2095430424"/>
      </c:barChart>
      <c:catAx>
        <c:axId val="-20198951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solidFill>
            <a:schemeClr val="bg1">
              <a:alpha val="25000"/>
            </a:schemeClr>
          </a:solidFill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095430424"/>
        <c:crosses val="autoZero"/>
        <c:auto val="1"/>
        <c:lblAlgn val="ctr"/>
        <c:lblOffset val="100"/>
        <c:noMultiLvlLbl val="0"/>
      </c:catAx>
      <c:valAx>
        <c:axId val="2095430424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tCO2e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_(* #,##0_);_(* \(#,##0\);_(* &quot;-&quot;_);_(@_)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198951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areaChart>
        <c:grouping val="stacked"/>
        <c:varyColors val="0"/>
        <c:ser>
          <c:idx val="0"/>
          <c:order val="0"/>
          <c:tx>
            <c:strRef>
              <c:f>Resumo!$C$56</c:f>
              <c:strCache>
                <c:ptCount val="1"/>
                <c:pt idx="0">
                  <c:v>Mata Atlântica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numRef>
              <c:f>Resumo!$D$55:$V$55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Resumo!$D$60:$V$60</c:f>
              <c:numCache>
                <c:formatCode>_(* #,##0.00_);_(* \(#,##0.00\);_(* "-"??_);_(@_)</c:formatCode>
                <c:ptCount val="9"/>
                <c:pt idx="0">
                  <c:v>6793379.825296293</c:v>
                </c:pt>
                <c:pt idx="1">
                  <c:v>8316573.2849417301</c:v>
                </c:pt>
                <c:pt idx="2">
                  <c:v>9712862.7440777253</c:v>
                </c:pt>
                <c:pt idx="3">
                  <c:v>7566618.9494343046</c:v>
                </c:pt>
                <c:pt idx="4">
                  <c:v>6695702.7734821793</c:v>
                </c:pt>
                <c:pt idx="5">
                  <c:v>6670314.5027416535</c:v>
                </c:pt>
                <c:pt idx="6">
                  <c:v>7047885.3730982328</c:v>
                </c:pt>
                <c:pt idx="7">
                  <c:v>4823766.0267069209</c:v>
                </c:pt>
                <c:pt idx="8">
                  <c:v>6878724.1579864183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75B-4AEB-B228-BF2F969828AF}"/>
            </c:ext>
          </c:extLst>
        </c:ser>
        <c:ser>
          <c:idx val="1"/>
          <c:order val="1"/>
          <c:tx>
            <c:strRef>
              <c:f>Resumo!$C$57</c:f>
              <c:strCache>
                <c:ptCount val="1"/>
                <c:pt idx="0">
                  <c:v>Cerrado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numRef>
              <c:f>Resumo!$D$55:$V$55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Resumo!$N$61:$V$61</c:f>
              <c:numCache>
                <c:formatCode>_(* #,##0.00_);_(* \(#,##0.00\);_(* "-"??_);_(@_)</c:formatCode>
                <c:ptCount val="9"/>
                <c:pt idx="0">
                  <c:v>2992015.7871350688</c:v>
                </c:pt>
                <c:pt idx="1">
                  <c:v>3714084.49789016</c:v>
                </c:pt>
                <c:pt idx="2">
                  <c:v>4938443.5741780866</c:v>
                </c:pt>
                <c:pt idx="3">
                  <c:v>3816306.3774594651</c:v>
                </c:pt>
                <c:pt idx="4">
                  <c:v>2234629.6902860738</c:v>
                </c:pt>
                <c:pt idx="5">
                  <c:v>2905187.0177328605</c:v>
                </c:pt>
                <c:pt idx="6">
                  <c:v>2830403.6906405166</c:v>
                </c:pt>
                <c:pt idx="7">
                  <c:v>1085107.2026736615</c:v>
                </c:pt>
                <c:pt idx="8">
                  <c:v>2667424.7503667027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75B-4AEB-B228-BF2F969828A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-2024113688"/>
        <c:axId val="-2024110232"/>
      </c:areaChart>
      <c:catAx>
        <c:axId val="-20241136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24110232"/>
        <c:crosses val="autoZero"/>
        <c:auto val="1"/>
        <c:lblAlgn val="ctr"/>
        <c:lblOffset val="100"/>
        <c:noMultiLvlLbl val="0"/>
      </c:catAx>
      <c:valAx>
        <c:axId val="-2024110232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tCO2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_(* #,##0.00_);_(* \(#,##0.00\);_(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24113688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Resumo!$B$76</c:f>
              <c:strCache>
                <c:ptCount val="1"/>
                <c:pt idx="0">
                  <c:v>Total de emissões por queimadas 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Resumo!$D$64:$V$64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Resumo!$D$76:$V$76</c:f>
              <c:numCache>
                <c:formatCode>_(* #,##0.00_);_(* \(#,##0.00\);_(* "-"??_);_(@_)</c:formatCode>
                <c:ptCount val="9"/>
                <c:pt idx="0">
                  <c:v>2981181.9639623016</c:v>
                </c:pt>
                <c:pt idx="1">
                  <c:v>5505471.4180975342</c:v>
                </c:pt>
                <c:pt idx="2">
                  <c:v>3499608.9536468042</c:v>
                </c:pt>
                <c:pt idx="3">
                  <c:v>4686373.5812375015</c:v>
                </c:pt>
                <c:pt idx="4">
                  <c:v>4257717.6848651376</c:v>
                </c:pt>
                <c:pt idx="5">
                  <c:v>4613808.3126497874</c:v>
                </c:pt>
                <c:pt idx="6">
                  <c:v>5263207.0411679409</c:v>
                </c:pt>
                <c:pt idx="7">
                  <c:v>2282010.1859880909</c:v>
                </c:pt>
                <c:pt idx="8">
                  <c:v>5044764.6201707404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EEC-4194-B213-75405A49DB3F}"/>
            </c:ext>
          </c:extLst>
        </c:ser>
        <c:ser>
          <c:idx val="1"/>
          <c:order val="1"/>
          <c:tx>
            <c:strRef>
              <c:f>Resumo!$B$67</c:f>
              <c:strCache>
                <c:ptCount val="1"/>
                <c:pt idx="0">
                  <c:v>Queimada de desmatamento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Resumo!$D$64:$V$64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Resumo!$D$67:$V$67</c:f>
              <c:numCache>
                <c:formatCode>_(* #,##0.00_);_(* \(#,##0.00\);_(* "-"??_);_(@_)</c:formatCode>
                <c:ptCount val="9"/>
                <c:pt idx="0">
                  <c:v>83941.905208628916</c:v>
                </c:pt>
                <c:pt idx="1">
                  <c:v>77518.224492821028</c:v>
                </c:pt>
                <c:pt idx="2">
                  <c:v>46763.642884358291</c:v>
                </c:pt>
                <c:pt idx="3">
                  <c:v>267107.80135610088</c:v>
                </c:pt>
                <c:pt idx="4">
                  <c:v>806.9527600053143</c:v>
                </c:pt>
                <c:pt idx="5">
                  <c:v>57142.110185868805</c:v>
                </c:pt>
                <c:pt idx="6">
                  <c:v>99223.990938843082</c:v>
                </c:pt>
                <c:pt idx="7">
                  <c:v>44204.619633466929</c:v>
                </c:pt>
                <c:pt idx="8">
                  <c:v>48463.963413034726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0EEC-4194-B213-75405A49DB3F}"/>
            </c:ext>
          </c:extLst>
        </c:ser>
        <c:ser>
          <c:idx val="2"/>
          <c:order val="2"/>
          <c:tx>
            <c:strRef>
              <c:f>Resumo!$B$71</c:f>
              <c:strCache>
                <c:ptCount val="1"/>
                <c:pt idx="0">
                  <c:v>Queimada em área agrícola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numRef>
              <c:f>Resumo!$D$64:$V$64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Resumo!$D$71:$V$71</c:f>
              <c:numCache>
                <c:formatCode>_(* #,##0.00_);_(* \(#,##0.00\);_(* "-"??_);_(@_)</c:formatCode>
                <c:ptCount val="9"/>
                <c:pt idx="0">
                  <c:v>362789.76736954483</c:v>
                </c:pt>
                <c:pt idx="1">
                  <c:v>275570.03441100777</c:v>
                </c:pt>
                <c:pt idx="2">
                  <c:v>221434.37418278996</c:v>
                </c:pt>
                <c:pt idx="3">
                  <c:v>435866.65658890299</c:v>
                </c:pt>
                <c:pt idx="4">
                  <c:v>127493.08871639654</c:v>
                </c:pt>
                <c:pt idx="5">
                  <c:v>218440.79981382273</c:v>
                </c:pt>
                <c:pt idx="6">
                  <c:v>349183.98424296238</c:v>
                </c:pt>
                <c:pt idx="7">
                  <c:v>166061.91461851</c:v>
                </c:pt>
                <c:pt idx="8">
                  <c:v>181943.95325989107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0EEC-4194-B213-75405A49DB3F}"/>
            </c:ext>
          </c:extLst>
        </c:ser>
        <c:ser>
          <c:idx val="3"/>
          <c:order val="3"/>
          <c:tx>
            <c:strRef>
              <c:f>Resumo!$B$75</c:f>
              <c:strCache>
                <c:ptCount val="1"/>
                <c:pt idx="0">
                  <c:v>Queimada em formação campestre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numRef>
              <c:f>Resumo!$D$64:$V$64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Resumo!$D$75:$V$75</c:f>
              <c:numCache>
                <c:formatCode>_(* #,##0.00_);_(* \(#,##0.00\);_(* "-"??_);_(@_)</c:formatCode>
                <c:ptCount val="9"/>
                <c:pt idx="0">
                  <c:v>2534450.2913841279</c:v>
                </c:pt>
                <c:pt idx="1">
                  <c:v>5152383.1591937058</c:v>
                </c:pt>
                <c:pt idx="2">
                  <c:v>3231410.9365796559</c:v>
                </c:pt>
                <c:pt idx="3">
                  <c:v>3983399.1232924974</c:v>
                </c:pt>
                <c:pt idx="4">
                  <c:v>4129417.6433887361</c:v>
                </c:pt>
                <c:pt idx="5">
                  <c:v>4338225.4026500955</c:v>
                </c:pt>
                <c:pt idx="6">
                  <c:v>4814799.065986135</c:v>
                </c:pt>
                <c:pt idx="7">
                  <c:v>2071743.6517361139</c:v>
                </c:pt>
                <c:pt idx="8">
                  <c:v>4814356.7034978149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0EEC-4194-B213-75405A49DB3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138762872"/>
        <c:axId val="2138752904"/>
      </c:lineChart>
      <c:catAx>
        <c:axId val="21387628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38752904"/>
        <c:crosses val="autoZero"/>
        <c:auto val="1"/>
        <c:lblAlgn val="ctr"/>
        <c:lblOffset val="100"/>
        <c:noMultiLvlLbl val="0"/>
      </c:catAx>
      <c:valAx>
        <c:axId val="2138752904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tCO2e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_(* #,##0_);_(* \(#,##0\);_(* &quot;-&quot;_);_(@_)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387628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areaChart>
        <c:grouping val="standard"/>
        <c:varyColors val="0"/>
        <c:ser>
          <c:idx val="0"/>
          <c:order val="0"/>
          <c:tx>
            <c:strRef>
              <c:f>Resumo!$B$76</c:f>
              <c:strCache>
                <c:ptCount val="1"/>
                <c:pt idx="0">
                  <c:v>Total de emissões por queimadas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numRef>
              <c:f>Resumo!$D$64:$V$64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Resumo!$D$76:$V$76</c:f>
              <c:numCache>
                <c:formatCode>_(* #,##0.00_);_(* \(#,##0.00\);_(* "-"??_);_(@_)</c:formatCode>
                <c:ptCount val="9"/>
                <c:pt idx="0">
                  <c:v>2981181.9639623016</c:v>
                </c:pt>
                <c:pt idx="1">
                  <c:v>5505471.4180975342</c:v>
                </c:pt>
                <c:pt idx="2">
                  <c:v>3499608.9536468042</c:v>
                </c:pt>
                <c:pt idx="3">
                  <c:v>4686373.5812375015</c:v>
                </c:pt>
                <c:pt idx="4">
                  <c:v>4257717.6848651376</c:v>
                </c:pt>
                <c:pt idx="5">
                  <c:v>4613808.3126497874</c:v>
                </c:pt>
                <c:pt idx="6">
                  <c:v>5263207.0411679409</c:v>
                </c:pt>
                <c:pt idx="7">
                  <c:v>2282010.1859880909</c:v>
                </c:pt>
                <c:pt idx="8">
                  <c:v>5044764.6201707404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6D1-4541-8EE5-69E0D82199C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-2024522808"/>
        <c:axId val="-2024101080"/>
      </c:areaChart>
      <c:catAx>
        <c:axId val="-20245228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24101080"/>
        <c:crosses val="autoZero"/>
        <c:auto val="1"/>
        <c:lblAlgn val="ctr"/>
        <c:lblOffset val="100"/>
        <c:noMultiLvlLbl val="0"/>
      </c:catAx>
      <c:valAx>
        <c:axId val="-2024101080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tCO2 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_(* #,##0.00_);_(* \(#,##0.00\);_(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24522808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BE39FBEAD1A48AE7B1BFFEBFF8A07" ma:contentTypeVersion="5519" ma:contentTypeDescription="Create a new document." ma:contentTypeScope="" ma:versionID="74e64fc60430c806131056e5e21fa6aa">
  <xsd:schema xmlns:xsd="http://www.w3.org/2001/XMLSchema" xmlns:xs="http://www.w3.org/2001/XMLSchema" xmlns:p="http://schemas.microsoft.com/office/2006/metadata/properties" xmlns:ns2="57536742-d7eb-4eb0-8cdb-d69a6240b5bc" xmlns:ns3="df3a4661-ae8f-4b53-9a15-a52e56768ad8" xmlns:ns4="e2400497-19ce-4944-bb67-66497a5b26c0" targetNamespace="http://schemas.microsoft.com/office/2006/metadata/properties" ma:root="true" ma:fieldsID="8e439a36d021f0385b1b6668fde6b966" ns2:_="" ns3:_="" ns4:_="">
    <xsd:import namespace="57536742-d7eb-4eb0-8cdb-d69a6240b5bc"/>
    <xsd:import namespace="df3a4661-ae8f-4b53-9a15-a52e56768ad8"/>
    <xsd:import namespace="e2400497-19ce-4944-bb67-66497a5b26c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36742-d7eb-4eb0-8cdb-d69a6240b5bc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a4661-ae8f-4b53-9a15-a52e56768a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400497-19ce-4944-bb67-66497a5b26c0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D115B3-593D-4456-AA04-A05C4896D0C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F68D0BD-8A36-4AFB-90F1-1F5F315BFA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393F08-0E34-4AF5-BB89-AA3965843E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FE8DC5-EDBA-484B-A4BC-F43A5D06CE9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2AB3FD1-0A80-4A63-A3ED-2AB10809EF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536742-d7eb-4eb0-8cdb-d69a6240b5bc"/>
    <ds:schemaRef ds:uri="df3a4661-ae8f-4b53-9a15-a52e56768ad8"/>
    <ds:schemaRef ds:uri="e2400497-19ce-4944-bb67-66497a5b26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3399</Words>
  <Characters>19380</Characters>
  <Application>Microsoft Office Word</Application>
  <DocSecurity>0</DocSecurity>
  <Lines>161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</dc:creator>
  <cp:keywords/>
  <dc:description/>
  <cp:lastModifiedBy>Casarim, Felipe</cp:lastModifiedBy>
  <cp:revision>3</cp:revision>
  <dcterms:created xsi:type="dcterms:W3CDTF">2021-02-19T15:51:00Z</dcterms:created>
  <dcterms:modified xsi:type="dcterms:W3CDTF">2021-02-19T15:52:00Z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0x010100528BE39FBEAD1A48AE7B1BFFEBFF8A07</vt:lpwstr>
  </property>
  <property fmtid="{D5CDD505-2E9C-101B-9397-08002B2CF9AE}" pid="3" name="MSIP_Label_65bd367d-9e3b-49e5-aa9a-caafdafee3aa_Enabled">
    <vt:lpwstr>true</vt:lpwstr>
  </property>
  <property fmtid="{D5CDD505-2E9C-101B-9397-08002B2CF9AE}" pid="4" name="MSIP_Label_65bd367d-9e3b-49e5-aa9a-caafdafee3aa_SetDate">
    <vt:lpwstr>2021-01-19T15:06:46Z</vt:lpwstr>
  </property>
  <property fmtid="{D5CDD505-2E9C-101B-9397-08002B2CF9AE}" pid="5" name="MSIP_Label_65bd367d-9e3b-49e5-aa9a-caafdafee3aa_Method">
    <vt:lpwstr>Standard</vt:lpwstr>
  </property>
  <property fmtid="{D5CDD505-2E9C-101B-9397-08002B2CF9AE}" pid="6" name="MSIP_Label_65bd367d-9e3b-49e5-aa9a-caafdafee3aa_Name">
    <vt:lpwstr>65bd367d-9e3b-49e5-aa9a-caafdafee3aa</vt:lpwstr>
  </property>
  <property fmtid="{D5CDD505-2E9C-101B-9397-08002B2CF9AE}" pid="7" name="MSIP_Label_65bd367d-9e3b-49e5-aa9a-caafdafee3aa_SiteId">
    <vt:lpwstr>9be3e276-28d8-4cd8-8f84-02cf1911da9c</vt:lpwstr>
  </property>
  <property fmtid="{D5CDD505-2E9C-101B-9397-08002B2CF9AE}" pid="8" name="MSIP_Label_65bd367d-9e3b-49e5-aa9a-caafdafee3aa_ActionId">
    <vt:lpwstr>b9e019ea-2f3d-422b-99ca-de123c12d071</vt:lpwstr>
  </property>
  <property fmtid="{D5CDD505-2E9C-101B-9397-08002B2CF9AE}" pid="9" name="MSIP_Label_65bd367d-9e3b-49e5-aa9a-caafdafee3aa_ContentBits">
    <vt:lpwstr>0</vt:lpwstr>
  </property>
</Properties>
</file>